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9ECD6" w14:textId="744F7A06" w:rsidR="00E34CB9" w:rsidRDefault="00E34CB9" w:rsidP="00E34CB9">
      <w:pPr>
        <w:jc w:val="center"/>
        <w:rPr>
          <w:rStyle w:val="TitleChar"/>
          <w:color w:val="0432FF"/>
          <w:sz w:val="48"/>
          <w:szCs w:val="48"/>
        </w:rPr>
      </w:pPr>
      <w:r>
        <w:rPr>
          <w:rStyle w:val="TitleChar"/>
          <w:color w:val="0432FF"/>
          <w:sz w:val="48"/>
          <w:szCs w:val="48"/>
        </w:rPr>
        <w:t xml:space="preserve">THE LEARN FOR LIFE </w:t>
      </w:r>
      <w:r w:rsidR="00FA1267" w:rsidRPr="00FA1267">
        <w:rPr>
          <w:rStyle w:val="TitleChar"/>
          <w:color w:val="0432FF"/>
          <w:sz w:val="48"/>
          <w:szCs w:val="48"/>
        </w:rPr>
        <w:t>MANIFESTO:</w:t>
      </w:r>
    </w:p>
    <w:p w14:paraId="5F6334E7" w14:textId="74934F36" w:rsidR="00E34CB9" w:rsidRDefault="00FA1267" w:rsidP="00E34CB9">
      <w:pPr>
        <w:jc w:val="center"/>
        <w:rPr>
          <w:rStyle w:val="SubtitleChar"/>
          <w:color w:val="0432FF"/>
        </w:rPr>
      </w:pPr>
      <w:r w:rsidRPr="00E34CB9">
        <w:rPr>
          <w:rStyle w:val="TitleChar"/>
          <w:color w:val="0432FF"/>
          <w:sz w:val="36"/>
          <w:szCs w:val="36"/>
        </w:rPr>
        <w:t>Shared Brilliance: The Knowledge for All Manifesto Toward Human 2.0</w:t>
      </w:r>
    </w:p>
    <w:p w14:paraId="765CBE82" w14:textId="77777777" w:rsidR="00E34CB9" w:rsidRDefault="00E34CB9" w:rsidP="00E34CB9">
      <w:pPr>
        <w:jc w:val="center"/>
        <w:rPr>
          <w:rStyle w:val="SubtitleChar"/>
          <w:color w:val="0432FF"/>
        </w:rPr>
      </w:pPr>
    </w:p>
    <w:p w14:paraId="2CBDF1D9" w14:textId="01EC4016" w:rsidR="00FA1267" w:rsidRDefault="00E34CB9" w:rsidP="00E34CB9">
      <w:pPr>
        <w:jc w:val="center"/>
        <w:rPr>
          <w:rStyle w:val="Emphasis"/>
        </w:rPr>
      </w:pPr>
      <w:r>
        <w:rPr>
          <w:i/>
          <w:iCs/>
          <w:noProof/>
        </w:rPr>
        <w:drawing>
          <wp:inline distT="0" distB="0" distL="0" distR="0" wp14:anchorId="19FB86ED" wp14:editId="17D744ED">
            <wp:extent cx="5943600" cy="5908675"/>
            <wp:effectExtent l="0" t="0" r="0" b="0"/>
            <wp:docPr id="409430756" name="Picture 1" descr="A group of people looking at a tabl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430756" name="Picture 1" descr="A group of people looking at a table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908675"/>
                    </a:xfrm>
                    <a:prstGeom prst="rect">
                      <a:avLst/>
                    </a:prstGeom>
                  </pic:spPr>
                </pic:pic>
              </a:graphicData>
            </a:graphic>
          </wp:inline>
        </w:drawing>
      </w:r>
    </w:p>
    <w:p w14:paraId="0E938D2C" w14:textId="77777777" w:rsidR="00E34CB9" w:rsidRDefault="00E34CB9" w:rsidP="004004A9">
      <w:pPr>
        <w:rPr>
          <w:rStyle w:val="SubtitleChar"/>
          <w:color w:val="0432FF"/>
        </w:rPr>
      </w:pPr>
    </w:p>
    <w:p w14:paraId="49BDB42E" w14:textId="766EAA98" w:rsidR="00E34CB9" w:rsidRDefault="00E34CB9" w:rsidP="00E34CB9">
      <w:pPr>
        <w:jc w:val="center"/>
        <w:rPr>
          <w:rStyle w:val="SubtitleChar"/>
          <w:color w:val="0432FF"/>
        </w:rPr>
      </w:pPr>
      <w:r w:rsidRPr="00FA1267">
        <w:rPr>
          <w:rStyle w:val="SubtitleChar"/>
          <w:color w:val="0432FF"/>
        </w:rPr>
        <w:t>Where AI and Universal Curiosity Ignite Our Superhuman Potential</w:t>
      </w:r>
    </w:p>
    <w:p w14:paraId="2EAD76FF" w14:textId="77777777" w:rsidR="004004A9" w:rsidRDefault="004004A9" w:rsidP="00E34CB9">
      <w:pPr>
        <w:jc w:val="center"/>
        <w:rPr>
          <w:rStyle w:val="SubtitleChar"/>
          <w:color w:val="0432FF"/>
        </w:rPr>
      </w:pPr>
    </w:p>
    <w:p w14:paraId="4FAC6364" w14:textId="77777777" w:rsidR="004004A9" w:rsidRDefault="004004A9" w:rsidP="00E34CB9">
      <w:pPr>
        <w:jc w:val="center"/>
        <w:rPr>
          <w:rStyle w:val="SubtitleChar"/>
          <w:color w:val="0432FF"/>
        </w:rPr>
      </w:pPr>
    </w:p>
    <w:p w14:paraId="46FA3591" w14:textId="77777777" w:rsidR="004004A9" w:rsidRDefault="004004A9" w:rsidP="00E34CB9">
      <w:pPr>
        <w:jc w:val="center"/>
        <w:rPr>
          <w:rStyle w:val="SubtitleChar"/>
          <w:color w:val="0432FF"/>
        </w:rPr>
      </w:pPr>
    </w:p>
    <w:p w14:paraId="198D1FFD" w14:textId="77777777" w:rsidR="004004A9" w:rsidRDefault="004004A9" w:rsidP="00E34CB9">
      <w:pPr>
        <w:jc w:val="center"/>
        <w:rPr>
          <w:rStyle w:val="SubtitleChar"/>
          <w:color w:val="0432FF"/>
        </w:rPr>
      </w:pPr>
    </w:p>
    <w:p w14:paraId="5FAE10F2" w14:textId="77777777" w:rsidR="004004A9" w:rsidRDefault="004004A9" w:rsidP="00E34CB9">
      <w:pPr>
        <w:jc w:val="center"/>
        <w:rPr>
          <w:rStyle w:val="SubtitleChar"/>
          <w:color w:val="0432FF"/>
        </w:rPr>
      </w:pPr>
    </w:p>
    <w:p w14:paraId="17806346" w14:textId="77777777" w:rsidR="004004A9" w:rsidRDefault="004004A9" w:rsidP="004004A9">
      <w:pPr>
        <w:pStyle w:val="Heading3"/>
      </w:pPr>
      <w:bookmarkStart w:id="0" w:name="_Toc186356442"/>
      <w:r>
        <w:rPr>
          <w:rStyle w:val="Strong"/>
          <w:b w:val="0"/>
          <w:bCs w:val="0"/>
        </w:rPr>
        <w:t>Acknowledgments</w:t>
      </w:r>
      <w:bookmarkEnd w:id="0"/>
    </w:p>
    <w:p w14:paraId="336D2F06" w14:textId="77777777" w:rsidR="004004A9" w:rsidRDefault="004004A9" w:rsidP="004004A9">
      <w:pPr>
        <w:pStyle w:val="NormalWeb"/>
      </w:pPr>
      <w:r>
        <w:t>This manifesto would not have been possible without the support, collaboration, and contributions of many individuals and organizations who share a passion for making knowledge a universal human right.</w:t>
      </w:r>
    </w:p>
    <w:p w14:paraId="7EB1D4AA" w14:textId="77777777" w:rsidR="004004A9" w:rsidRDefault="004004A9" w:rsidP="004004A9">
      <w:pPr>
        <w:pStyle w:val="NormalWeb"/>
      </w:pPr>
      <w:r>
        <w:t>We extend our deepest gratitude to the global network of educators, innovators, policymakers, and thought leaders who have embraced the Learn for Life philosophy. Your commitment to building inclusive learning hubs, pioneering re-skilling initiatives, and integrating cutting-edge technologies into education serves as an inspiration to us all.</w:t>
      </w:r>
    </w:p>
    <w:p w14:paraId="073875A6" w14:textId="77777777" w:rsidR="004004A9" w:rsidRDefault="004004A9" w:rsidP="004004A9">
      <w:pPr>
        <w:pStyle w:val="NormalWeb"/>
      </w:pPr>
      <w:r>
        <w:t>To the teams at EON Reality and Learn for Life, your relentless drive and creativity have brought this vision to life. Your work in making AI, XR, and empathy-driven technology accessible to millions is paving the way for a more equitable and connected future.</w:t>
      </w:r>
    </w:p>
    <w:p w14:paraId="1C060666" w14:textId="77777777" w:rsidR="004004A9" w:rsidRDefault="004004A9" w:rsidP="004004A9">
      <w:pPr>
        <w:pStyle w:val="NormalWeb"/>
      </w:pPr>
      <w:r>
        <w:t>Finally, to the learners, teachers, and mentors around the world: this manifesto is dedicated to you. Your curiosity, resilience, and pursuit of growth remind us every day of the profound potential within humanity. You are the reason we believe in the transformative power of knowledge and its ability to shape a better world.</w:t>
      </w:r>
    </w:p>
    <w:p w14:paraId="2E302729" w14:textId="77777777" w:rsidR="004004A9" w:rsidRDefault="004004A9" w:rsidP="004004A9">
      <w:pPr>
        <w:pStyle w:val="NormalWeb"/>
      </w:pPr>
      <w:r>
        <w:t>With immense gratitude,</w:t>
      </w:r>
      <w:r>
        <w:br/>
      </w:r>
      <w:r>
        <w:rPr>
          <w:rStyle w:val="Strong"/>
          <w:rFonts w:eastAsiaTheme="majorEastAsia"/>
        </w:rPr>
        <w:t>Dan Lejerskar &amp; Anna Lejerskar</w:t>
      </w:r>
      <w:r>
        <w:br/>
        <w:t>December 2024</w:t>
      </w:r>
    </w:p>
    <w:p w14:paraId="5BF166EF" w14:textId="77777777" w:rsidR="004004A9" w:rsidRDefault="004004A9" w:rsidP="00E34CB9">
      <w:pPr>
        <w:jc w:val="center"/>
        <w:rPr>
          <w:rStyle w:val="SubtitleChar"/>
          <w:color w:val="0432FF"/>
        </w:rPr>
      </w:pPr>
    </w:p>
    <w:p w14:paraId="6177BD13" w14:textId="797EE6CD" w:rsidR="004004A9" w:rsidRDefault="004004A9">
      <w:pPr>
        <w:rPr>
          <w:rStyle w:val="SubtitleChar"/>
          <w:color w:val="0432FF"/>
        </w:rPr>
      </w:pPr>
      <w:r>
        <w:rPr>
          <w:rStyle w:val="SubtitleChar"/>
          <w:color w:val="0432FF"/>
        </w:rPr>
        <w:br w:type="page"/>
      </w:r>
    </w:p>
    <w:p w14:paraId="146931B3" w14:textId="77777777" w:rsidR="00E34CB9" w:rsidRDefault="00E34CB9" w:rsidP="00E34CB9">
      <w:pPr>
        <w:jc w:val="center"/>
        <w:rPr>
          <w:rStyle w:val="SubtitleChar"/>
          <w:color w:val="0432FF"/>
        </w:rPr>
      </w:pPr>
    </w:p>
    <w:p w14:paraId="35485486" w14:textId="77777777" w:rsidR="00E34CB9" w:rsidRDefault="00E34CB9" w:rsidP="00E34CB9">
      <w:pPr>
        <w:jc w:val="center"/>
        <w:rPr>
          <w:rStyle w:val="SubtitleChar"/>
          <w:color w:val="0432FF"/>
        </w:rPr>
      </w:pPr>
    </w:p>
    <w:p w14:paraId="3F72FE6C" w14:textId="77777777" w:rsidR="00E34CB9" w:rsidRDefault="00E34CB9" w:rsidP="00E34CB9">
      <w:pPr>
        <w:jc w:val="center"/>
        <w:rPr>
          <w:rStyle w:val="Emphasis"/>
        </w:rPr>
      </w:pPr>
    </w:p>
    <w:sdt>
      <w:sdtPr>
        <w:id w:val="863987"/>
        <w:docPartObj>
          <w:docPartGallery w:val="Table of Contents"/>
          <w:docPartUnique/>
        </w:docPartObj>
      </w:sdtPr>
      <w:sdtEndPr>
        <w:rPr>
          <w:rFonts w:asciiTheme="minorHAnsi" w:eastAsiaTheme="minorHAnsi" w:hAnsiTheme="minorHAnsi" w:cstheme="minorBidi"/>
          <w:noProof/>
          <w:color w:val="auto"/>
          <w:kern w:val="2"/>
          <w:sz w:val="24"/>
          <w:szCs w:val="24"/>
          <w14:ligatures w14:val="standardContextual"/>
        </w:rPr>
      </w:sdtEndPr>
      <w:sdtContent>
        <w:p w14:paraId="73C4D32C" w14:textId="50EF1BB3" w:rsidR="00E34CB9" w:rsidRDefault="00E34CB9">
          <w:pPr>
            <w:pStyle w:val="TOCHeading"/>
          </w:pPr>
          <w:r>
            <w:t>Table of Contents</w:t>
          </w:r>
        </w:p>
        <w:p w14:paraId="567D8BC0" w14:textId="6DD77FCB" w:rsidR="004004A9" w:rsidRDefault="00E34CB9">
          <w:pPr>
            <w:pStyle w:val="TOC3"/>
            <w:tabs>
              <w:tab w:val="right" w:leader="dot" w:pos="9350"/>
            </w:tabs>
            <w:rPr>
              <w:rFonts w:eastAsiaTheme="minorEastAsia"/>
              <w:noProof/>
              <w:sz w:val="24"/>
              <w:szCs w:val="24"/>
            </w:rPr>
          </w:pPr>
          <w:r>
            <w:fldChar w:fldCharType="begin"/>
          </w:r>
          <w:r>
            <w:instrText xml:space="preserve"> TOC \o "1-3" \h \z \u </w:instrText>
          </w:r>
          <w:r>
            <w:fldChar w:fldCharType="separate"/>
          </w:r>
          <w:hyperlink w:anchor="_Toc186356442" w:history="1">
            <w:r w:rsidR="004004A9" w:rsidRPr="00D91FE8">
              <w:rPr>
                <w:rStyle w:val="Hyperlink"/>
                <w:noProof/>
              </w:rPr>
              <w:t>Acknowledgments</w:t>
            </w:r>
            <w:r w:rsidR="004004A9">
              <w:rPr>
                <w:noProof/>
                <w:webHidden/>
              </w:rPr>
              <w:tab/>
            </w:r>
            <w:r w:rsidR="004004A9">
              <w:rPr>
                <w:noProof/>
                <w:webHidden/>
              </w:rPr>
              <w:fldChar w:fldCharType="begin"/>
            </w:r>
            <w:r w:rsidR="004004A9">
              <w:rPr>
                <w:noProof/>
                <w:webHidden/>
              </w:rPr>
              <w:instrText xml:space="preserve"> PAGEREF _Toc186356442 \h </w:instrText>
            </w:r>
            <w:r w:rsidR="004004A9">
              <w:rPr>
                <w:noProof/>
                <w:webHidden/>
              </w:rPr>
            </w:r>
            <w:r w:rsidR="004004A9">
              <w:rPr>
                <w:noProof/>
                <w:webHidden/>
              </w:rPr>
              <w:fldChar w:fldCharType="separate"/>
            </w:r>
            <w:r w:rsidR="004004A9">
              <w:rPr>
                <w:noProof/>
                <w:webHidden/>
              </w:rPr>
              <w:t>2</w:t>
            </w:r>
            <w:r w:rsidR="004004A9">
              <w:rPr>
                <w:noProof/>
                <w:webHidden/>
              </w:rPr>
              <w:fldChar w:fldCharType="end"/>
            </w:r>
          </w:hyperlink>
        </w:p>
        <w:p w14:paraId="29671A52" w14:textId="11715B2A" w:rsidR="004004A9" w:rsidRDefault="004004A9">
          <w:pPr>
            <w:pStyle w:val="TOC2"/>
            <w:tabs>
              <w:tab w:val="right" w:leader="dot" w:pos="9350"/>
            </w:tabs>
            <w:rPr>
              <w:rFonts w:eastAsiaTheme="minorEastAsia"/>
              <w:b w:val="0"/>
              <w:bCs w:val="0"/>
              <w:noProof/>
              <w:sz w:val="24"/>
              <w:szCs w:val="24"/>
            </w:rPr>
          </w:pPr>
          <w:hyperlink w:anchor="_Toc186356443" w:history="1">
            <w:r w:rsidRPr="00D91FE8">
              <w:rPr>
                <w:rStyle w:val="Hyperlink"/>
                <w:noProof/>
              </w:rPr>
              <w:t>Foreword</w:t>
            </w:r>
            <w:r>
              <w:rPr>
                <w:noProof/>
                <w:webHidden/>
              </w:rPr>
              <w:tab/>
            </w:r>
            <w:r>
              <w:rPr>
                <w:noProof/>
                <w:webHidden/>
              </w:rPr>
              <w:fldChar w:fldCharType="begin"/>
            </w:r>
            <w:r>
              <w:rPr>
                <w:noProof/>
                <w:webHidden/>
              </w:rPr>
              <w:instrText xml:space="preserve"> PAGEREF _Toc186356443 \h </w:instrText>
            </w:r>
            <w:r>
              <w:rPr>
                <w:noProof/>
                <w:webHidden/>
              </w:rPr>
            </w:r>
            <w:r>
              <w:rPr>
                <w:noProof/>
                <w:webHidden/>
              </w:rPr>
              <w:fldChar w:fldCharType="separate"/>
            </w:r>
            <w:r>
              <w:rPr>
                <w:noProof/>
                <w:webHidden/>
              </w:rPr>
              <w:t>4</w:t>
            </w:r>
            <w:r>
              <w:rPr>
                <w:noProof/>
                <w:webHidden/>
              </w:rPr>
              <w:fldChar w:fldCharType="end"/>
            </w:r>
          </w:hyperlink>
        </w:p>
        <w:p w14:paraId="73697FE5" w14:textId="74148053" w:rsidR="004004A9" w:rsidRDefault="004004A9">
          <w:pPr>
            <w:pStyle w:val="TOC2"/>
            <w:tabs>
              <w:tab w:val="right" w:leader="dot" w:pos="9350"/>
            </w:tabs>
            <w:rPr>
              <w:rFonts w:eastAsiaTheme="minorEastAsia"/>
              <w:b w:val="0"/>
              <w:bCs w:val="0"/>
              <w:noProof/>
              <w:sz w:val="24"/>
              <w:szCs w:val="24"/>
            </w:rPr>
          </w:pPr>
          <w:hyperlink w:anchor="_Toc186356444" w:history="1">
            <w:r w:rsidRPr="00D91FE8">
              <w:rPr>
                <w:rStyle w:val="Hyperlink"/>
                <w:noProof/>
              </w:rPr>
              <w:t>Part I: Foundations of the Movement</w:t>
            </w:r>
            <w:r>
              <w:rPr>
                <w:noProof/>
                <w:webHidden/>
              </w:rPr>
              <w:tab/>
            </w:r>
            <w:r>
              <w:rPr>
                <w:noProof/>
                <w:webHidden/>
              </w:rPr>
              <w:fldChar w:fldCharType="begin"/>
            </w:r>
            <w:r>
              <w:rPr>
                <w:noProof/>
                <w:webHidden/>
              </w:rPr>
              <w:instrText xml:space="preserve"> PAGEREF _Toc186356444 \h </w:instrText>
            </w:r>
            <w:r>
              <w:rPr>
                <w:noProof/>
                <w:webHidden/>
              </w:rPr>
            </w:r>
            <w:r>
              <w:rPr>
                <w:noProof/>
                <w:webHidden/>
              </w:rPr>
              <w:fldChar w:fldCharType="separate"/>
            </w:r>
            <w:r>
              <w:rPr>
                <w:noProof/>
                <w:webHidden/>
              </w:rPr>
              <w:t>6</w:t>
            </w:r>
            <w:r>
              <w:rPr>
                <w:noProof/>
                <w:webHidden/>
              </w:rPr>
              <w:fldChar w:fldCharType="end"/>
            </w:r>
          </w:hyperlink>
        </w:p>
        <w:p w14:paraId="315C78AA" w14:textId="71CFDD44" w:rsidR="004004A9" w:rsidRDefault="004004A9">
          <w:pPr>
            <w:pStyle w:val="TOC3"/>
            <w:tabs>
              <w:tab w:val="right" w:leader="dot" w:pos="9350"/>
            </w:tabs>
            <w:rPr>
              <w:rFonts w:eastAsiaTheme="minorEastAsia"/>
              <w:noProof/>
              <w:sz w:val="24"/>
              <w:szCs w:val="24"/>
            </w:rPr>
          </w:pPr>
          <w:hyperlink w:anchor="_Toc186356445" w:history="1">
            <w:r w:rsidRPr="00D91FE8">
              <w:rPr>
                <w:rStyle w:val="Hyperlink"/>
                <w:noProof/>
              </w:rPr>
              <w:t>Chapter 1 – Knowledge as a Human Right</w:t>
            </w:r>
            <w:r>
              <w:rPr>
                <w:noProof/>
                <w:webHidden/>
              </w:rPr>
              <w:tab/>
            </w:r>
            <w:r>
              <w:rPr>
                <w:noProof/>
                <w:webHidden/>
              </w:rPr>
              <w:fldChar w:fldCharType="begin"/>
            </w:r>
            <w:r>
              <w:rPr>
                <w:noProof/>
                <w:webHidden/>
              </w:rPr>
              <w:instrText xml:space="preserve"> PAGEREF _Toc186356445 \h </w:instrText>
            </w:r>
            <w:r>
              <w:rPr>
                <w:noProof/>
                <w:webHidden/>
              </w:rPr>
            </w:r>
            <w:r>
              <w:rPr>
                <w:noProof/>
                <w:webHidden/>
              </w:rPr>
              <w:fldChar w:fldCharType="separate"/>
            </w:r>
            <w:r>
              <w:rPr>
                <w:noProof/>
                <w:webHidden/>
              </w:rPr>
              <w:t>6</w:t>
            </w:r>
            <w:r>
              <w:rPr>
                <w:noProof/>
                <w:webHidden/>
              </w:rPr>
              <w:fldChar w:fldCharType="end"/>
            </w:r>
          </w:hyperlink>
        </w:p>
        <w:p w14:paraId="438DF0FE" w14:textId="29CDF09D" w:rsidR="004004A9" w:rsidRDefault="004004A9">
          <w:pPr>
            <w:pStyle w:val="TOC2"/>
            <w:tabs>
              <w:tab w:val="right" w:leader="dot" w:pos="9350"/>
            </w:tabs>
            <w:rPr>
              <w:rFonts w:eastAsiaTheme="minorEastAsia"/>
              <w:b w:val="0"/>
              <w:bCs w:val="0"/>
              <w:noProof/>
              <w:sz w:val="24"/>
              <w:szCs w:val="24"/>
            </w:rPr>
          </w:pPr>
          <w:hyperlink w:anchor="_Toc186356446" w:history="1">
            <w:r w:rsidRPr="00D91FE8">
              <w:rPr>
                <w:rStyle w:val="Hyperlink"/>
                <w:noProof/>
              </w:rPr>
              <w:t>Part II: The Practical Heart—Methodologies &amp; Tech</w:t>
            </w:r>
            <w:r>
              <w:rPr>
                <w:noProof/>
                <w:webHidden/>
              </w:rPr>
              <w:tab/>
            </w:r>
            <w:r>
              <w:rPr>
                <w:noProof/>
                <w:webHidden/>
              </w:rPr>
              <w:fldChar w:fldCharType="begin"/>
            </w:r>
            <w:r>
              <w:rPr>
                <w:noProof/>
                <w:webHidden/>
              </w:rPr>
              <w:instrText xml:space="preserve"> PAGEREF _Toc186356446 \h </w:instrText>
            </w:r>
            <w:r>
              <w:rPr>
                <w:noProof/>
                <w:webHidden/>
              </w:rPr>
            </w:r>
            <w:r>
              <w:rPr>
                <w:noProof/>
                <w:webHidden/>
              </w:rPr>
              <w:fldChar w:fldCharType="separate"/>
            </w:r>
            <w:r>
              <w:rPr>
                <w:noProof/>
                <w:webHidden/>
              </w:rPr>
              <w:t>8</w:t>
            </w:r>
            <w:r>
              <w:rPr>
                <w:noProof/>
                <w:webHidden/>
              </w:rPr>
              <w:fldChar w:fldCharType="end"/>
            </w:r>
          </w:hyperlink>
        </w:p>
        <w:p w14:paraId="376314F1" w14:textId="0DA4F74D" w:rsidR="004004A9" w:rsidRDefault="004004A9">
          <w:pPr>
            <w:pStyle w:val="TOC3"/>
            <w:tabs>
              <w:tab w:val="right" w:leader="dot" w:pos="9350"/>
            </w:tabs>
            <w:rPr>
              <w:rFonts w:eastAsiaTheme="minorEastAsia"/>
              <w:noProof/>
              <w:sz w:val="24"/>
              <w:szCs w:val="24"/>
            </w:rPr>
          </w:pPr>
          <w:hyperlink w:anchor="_Toc186356447" w:history="1">
            <w:r w:rsidRPr="00D91FE8">
              <w:rPr>
                <w:rStyle w:val="Hyperlink"/>
                <w:noProof/>
              </w:rPr>
              <w:t>Chapter 2 – Knowledge Injection &amp; Fast Certifications</w:t>
            </w:r>
            <w:r>
              <w:rPr>
                <w:noProof/>
                <w:webHidden/>
              </w:rPr>
              <w:tab/>
            </w:r>
            <w:r>
              <w:rPr>
                <w:noProof/>
                <w:webHidden/>
              </w:rPr>
              <w:fldChar w:fldCharType="begin"/>
            </w:r>
            <w:r>
              <w:rPr>
                <w:noProof/>
                <w:webHidden/>
              </w:rPr>
              <w:instrText xml:space="preserve"> PAGEREF _Toc186356447 \h </w:instrText>
            </w:r>
            <w:r>
              <w:rPr>
                <w:noProof/>
                <w:webHidden/>
              </w:rPr>
            </w:r>
            <w:r>
              <w:rPr>
                <w:noProof/>
                <w:webHidden/>
              </w:rPr>
              <w:fldChar w:fldCharType="separate"/>
            </w:r>
            <w:r>
              <w:rPr>
                <w:noProof/>
                <w:webHidden/>
              </w:rPr>
              <w:t>8</w:t>
            </w:r>
            <w:r>
              <w:rPr>
                <w:noProof/>
                <w:webHidden/>
              </w:rPr>
              <w:fldChar w:fldCharType="end"/>
            </w:r>
          </w:hyperlink>
        </w:p>
        <w:p w14:paraId="6F274521" w14:textId="274FFDF2" w:rsidR="004004A9" w:rsidRDefault="004004A9">
          <w:pPr>
            <w:pStyle w:val="TOC3"/>
            <w:tabs>
              <w:tab w:val="right" w:leader="dot" w:pos="9350"/>
            </w:tabs>
            <w:rPr>
              <w:rFonts w:eastAsiaTheme="minorEastAsia"/>
              <w:noProof/>
              <w:sz w:val="24"/>
              <w:szCs w:val="24"/>
            </w:rPr>
          </w:pPr>
          <w:hyperlink w:anchor="_Toc186356448" w:history="1">
            <w:r w:rsidRPr="00D91FE8">
              <w:rPr>
                <w:rStyle w:val="Hyperlink"/>
                <w:noProof/>
              </w:rPr>
              <w:t>Chapter 3 – Mentor XR: The Human-Focused Ally</w:t>
            </w:r>
            <w:r>
              <w:rPr>
                <w:noProof/>
                <w:webHidden/>
              </w:rPr>
              <w:tab/>
            </w:r>
            <w:r>
              <w:rPr>
                <w:noProof/>
                <w:webHidden/>
              </w:rPr>
              <w:fldChar w:fldCharType="begin"/>
            </w:r>
            <w:r>
              <w:rPr>
                <w:noProof/>
                <w:webHidden/>
              </w:rPr>
              <w:instrText xml:space="preserve"> PAGEREF _Toc186356448 \h </w:instrText>
            </w:r>
            <w:r>
              <w:rPr>
                <w:noProof/>
                <w:webHidden/>
              </w:rPr>
            </w:r>
            <w:r>
              <w:rPr>
                <w:noProof/>
                <w:webHidden/>
              </w:rPr>
              <w:fldChar w:fldCharType="separate"/>
            </w:r>
            <w:r>
              <w:rPr>
                <w:noProof/>
                <w:webHidden/>
              </w:rPr>
              <w:t>9</w:t>
            </w:r>
            <w:r>
              <w:rPr>
                <w:noProof/>
                <w:webHidden/>
              </w:rPr>
              <w:fldChar w:fldCharType="end"/>
            </w:r>
          </w:hyperlink>
        </w:p>
        <w:p w14:paraId="5093EC30" w14:textId="6CEB392F" w:rsidR="004004A9" w:rsidRDefault="004004A9">
          <w:pPr>
            <w:pStyle w:val="TOC2"/>
            <w:tabs>
              <w:tab w:val="right" w:leader="dot" w:pos="9350"/>
            </w:tabs>
            <w:rPr>
              <w:rFonts w:eastAsiaTheme="minorEastAsia"/>
              <w:b w:val="0"/>
              <w:bCs w:val="0"/>
              <w:noProof/>
              <w:sz w:val="24"/>
              <w:szCs w:val="24"/>
            </w:rPr>
          </w:pPr>
          <w:hyperlink w:anchor="_Toc186356449" w:history="1">
            <w:r w:rsidRPr="00D91FE8">
              <w:rPr>
                <w:rStyle w:val="Hyperlink"/>
                <w:noProof/>
              </w:rPr>
              <w:t>Part III: Building Institutions &amp; Communities</w:t>
            </w:r>
            <w:r>
              <w:rPr>
                <w:noProof/>
                <w:webHidden/>
              </w:rPr>
              <w:tab/>
            </w:r>
            <w:r>
              <w:rPr>
                <w:noProof/>
                <w:webHidden/>
              </w:rPr>
              <w:fldChar w:fldCharType="begin"/>
            </w:r>
            <w:r>
              <w:rPr>
                <w:noProof/>
                <w:webHidden/>
              </w:rPr>
              <w:instrText xml:space="preserve"> PAGEREF _Toc186356449 \h </w:instrText>
            </w:r>
            <w:r>
              <w:rPr>
                <w:noProof/>
                <w:webHidden/>
              </w:rPr>
            </w:r>
            <w:r>
              <w:rPr>
                <w:noProof/>
                <w:webHidden/>
              </w:rPr>
              <w:fldChar w:fldCharType="separate"/>
            </w:r>
            <w:r>
              <w:rPr>
                <w:noProof/>
                <w:webHidden/>
              </w:rPr>
              <w:t>12</w:t>
            </w:r>
            <w:r>
              <w:rPr>
                <w:noProof/>
                <w:webHidden/>
              </w:rPr>
              <w:fldChar w:fldCharType="end"/>
            </w:r>
          </w:hyperlink>
        </w:p>
        <w:p w14:paraId="55D8C82D" w14:textId="67304D3A" w:rsidR="004004A9" w:rsidRDefault="004004A9">
          <w:pPr>
            <w:pStyle w:val="TOC3"/>
            <w:tabs>
              <w:tab w:val="right" w:leader="dot" w:pos="9350"/>
            </w:tabs>
            <w:rPr>
              <w:rFonts w:eastAsiaTheme="minorEastAsia"/>
              <w:noProof/>
              <w:sz w:val="24"/>
              <w:szCs w:val="24"/>
            </w:rPr>
          </w:pPr>
          <w:hyperlink w:anchor="_Toc186356450" w:history="1">
            <w:r w:rsidRPr="00D91FE8">
              <w:rPr>
                <w:rStyle w:val="Hyperlink"/>
                <w:noProof/>
              </w:rPr>
              <w:t>Chapter 4 – Institutional Evolution &amp; Local Hubs</w:t>
            </w:r>
            <w:r>
              <w:rPr>
                <w:noProof/>
                <w:webHidden/>
              </w:rPr>
              <w:tab/>
            </w:r>
            <w:r>
              <w:rPr>
                <w:noProof/>
                <w:webHidden/>
              </w:rPr>
              <w:fldChar w:fldCharType="begin"/>
            </w:r>
            <w:r>
              <w:rPr>
                <w:noProof/>
                <w:webHidden/>
              </w:rPr>
              <w:instrText xml:space="preserve"> PAGEREF _Toc186356450 \h </w:instrText>
            </w:r>
            <w:r>
              <w:rPr>
                <w:noProof/>
                <w:webHidden/>
              </w:rPr>
            </w:r>
            <w:r>
              <w:rPr>
                <w:noProof/>
                <w:webHidden/>
              </w:rPr>
              <w:fldChar w:fldCharType="separate"/>
            </w:r>
            <w:r>
              <w:rPr>
                <w:noProof/>
                <w:webHidden/>
              </w:rPr>
              <w:t>12</w:t>
            </w:r>
            <w:r>
              <w:rPr>
                <w:noProof/>
                <w:webHidden/>
              </w:rPr>
              <w:fldChar w:fldCharType="end"/>
            </w:r>
          </w:hyperlink>
        </w:p>
        <w:p w14:paraId="78843EE9" w14:textId="50B6DB8D" w:rsidR="004004A9" w:rsidRDefault="004004A9">
          <w:pPr>
            <w:pStyle w:val="TOC2"/>
            <w:tabs>
              <w:tab w:val="right" w:leader="dot" w:pos="9350"/>
            </w:tabs>
            <w:rPr>
              <w:rFonts w:eastAsiaTheme="minorEastAsia"/>
              <w:b w:val="0"/>
              <w:bCs w:val="0"/>
              <w:noProof/>
              <w:sz w:val="24"/>
              <w:szCs w:val="24"/>
            </w:rPr>
          </w:pPr>
          <w:hyperlink w:anchor="_Toc186356451" w:history="1">
            <w:r w:rsidRPr="00D91FE8">
              <w:rPr>
                <w:rStyle w:val="Hyperlink"/>
                <w:noProof/>
              </w:rPr>
              <w:t>Part IV: Global Structures &amp; Moral Framework</w:t>
            </w:r>
            <w:r>
              <w:rPr>
                <w:noProof/>
                <w:webHidden/>
              </w:rPr>
              <w:tab/>
            </w:r>
            <w:r>
              <w:rPr>
                <w:noProof/>
                <w:webHidden/>
              </w:rPr>
              <w:fldChar w:fldCharType="begin"/>
            </w:r>
            <w:r>
              <w:rPr>
                <w:noProof/>
                <w:webHidden/>
              </w:rPr>
              <w:instrText xml:space="preserve"> PAGEREF _Toc186356451 \h </w:instrText>
            </w:r>
            <w:r>
              <w:rPr>
                <w:noProof/>
                <w:webHidden/>
              </w:rPr>
            </w:r>
            <w:r>
              <w:rPr>
                <w:noProof/>
                <w:webHidden/>
              </w:rPr>
              <w:fldChar w:fldCharType="separate"/>
            </w:r>
            <w:r>
              <w:rPr>
                <w:noProof/>
                <w:webHidden/>
              </w:rPr>
              <w:t>15</w:t>
            </w:r>
            <w:r>
              <w:rPr>
                <w:noProof/>
                <w:webHidden/>
              </w:rPr>
              <w:fldChar w:fldCharType="end"/>
            </w:r>
          </w:hyperlink>
        </w:p>
        <w:p w14:paraId="046E6550" w14:textId="57E71CFD" w:rsidR="004004A9" w:rsidRDefault="004004A9">
          <w:pPr>
            <w:pStyle w:val="TOC3"/>
            <w:tabs>
              <w:tab w:val="right" w:leader="dot" w:pos="9350"/>
            </w:tabs>
            <w:rPr>
              <w:rFonts w:eastAsiaTheme="minorEastAsia"/>
              <w:noProof/>
              <w:sz w:val="24"/>
              <w:szCs w:val="24"/>
            </w:rPr>
          </w:pPr>
          <w:hyperlink w:anchor="_Toc186356452" w:history="1">
            <w:r w:rsidRPr="00D91FE8">
              <w:rPr>
                <w:rStyle w:val="Hyperlink"/>
                <w:noProof/>
              </w:rPr>
              <w:t>Chapter 5 – Policy, Ethics, and Accountability</w:t>
            </w:r>
            <w:r>
              <w:rPr>
                <w:noProof/>
                <w:webHidden/>
              </w:rPr>
              <w:tab/>
            </w:r>
            <w:r>
              <w:rPr>
                <w:noProof/>
                <w:webHidden/>
              </w:rPr>
              <w:fldChar w:fldCharType="begin"/>
            </w:r>
            <w:r>
              <w:rPr>
                <w:noProof/>
                <w:webHidden/>
              </w:rPr>
              <w:instrText xml:space="preserve"> PAGEREF _Toc186356452 \h </w:instrText>
            </w:r>
            <w:r>
              <w:rPr>
                <w:noProof/>
                <w:webHidden/>
              </w:rPr>
            </w:r>
            <w:r>
              <w:rPr>
                <w:noProof/>
                <w:webHidden/>
              </w:rPr>
              <w:fldChar w:fldCharType="separate"/>
            </w:r>
            <w:r>
              <w:rPr>
                <w:noProof/>
                <w:webHidden/>
              </w:rPr>
              <w:t>15</w:t>
            </w:r>
            <w:r>
              <w:rPr>
                <w:noProof/>
                <w:webHidden/>
              </w:rPr>
              <w:fldChar w:fldCharType="end"/>
            </w:r>
          </w:hyperlink>
        </w:p>
        <w:p w14:paraId="1A315A7F" w14:textId="428F6552" w:rsidR="004004A9" w:rsidRDefault="004004A9">
          <w:pPr>
            <w:pStyle w:val="TOC3"/>
            <w:tabs>
              <w:tab w:val="right" w:leader="dot" w:pos="9350"/>
            </w:tabs>
            <w:rPr>
              <w:rFonts w:eastAsiaTheme="minorEastAsia"/>
              <w:noProof/>
              <w:sz w:val="24"/>
              <w:szCs w:val="24"/>
            </w:rPr>
          </w:pPr>
          <w:hyperlink w:anchor="_Toc186356453" w:history="1">
            <w:r w:rsidRPr="00D91FE8">
              <w:rPr>
                <w:rStyle w:val="Hyperlink"/>
                <w:noProof/>
              </w:rPr>
              <w:t>Chapter 6 – The Culture of Empathy &amp; Curiosity</w:t>
            </w:r>
            <w:r>
              <w:rPr>
                <w:noProof/>
                <w:webHidden/>
              </w:rPr>
              <w:tab/>
            </w:r>
            <w:r>
              <w:rPr>
                <w:noProof/>
                <w:webHidden/>
              </w:rPr>
              <w:fldChar w:fldCharType="begin"/>
            </w:r>
            <w:r>
              <w:rPr>
                <w:noProof/>
                <w:webHidden/>
              </w:rPr>
              <w:instrText xml:space="preserve"> PAGEREF _Toc186356453 \h </w:instrText>
            </w:r>
            <w:r>
              <w:rPr>
                <w:noProof/>
                <w:webHidden/>
              </w:rPr>
            </w:r>
            <w:r>
              <w:rPr>
                <w:noProof/>
                <w:webHidden/>
              </w:rPr>
              <w:fldChar w:fldCharType="separate"/>
            </w:r>
            <w:r>
              <w:rPr>
                <w:noProof/>
                <w:webHidden/>
              </w:rPr>
              <w:t>16</w:t>
            </w:r>
            <w:r>
              <w:rPr>
                <w:noProof/>
                <w:webHidden/>
              </w:rPr>
              <w:fldChar w:fldCharType="end"/>
            </w:r>
          </w:hyperlink>
        </w:p>
        <w:p w14:paraId="726988F5" w14:textId="52FBF4AE" w:rsidR="004004A9" w:rsidRDefault="004004A9">
          <w:pPr>
            <w:pStyle w:val="TOC2"/>
            <w:tabs>
              <w:tab w:val="right" w:leader="dot" w:pos="9350"/>
            </w:tabs>
            <w:rPr>
              <w:rFonts w:eastAsiaTheme="minorEastAsia"/>
              <w:b w:val="0"/>
              <w:bCs w:val="0"/>
              <w:noProof/>
              <w:sz w:val="24"/>
              <w:szCs w:val="24"/>
            </w:rPr>
          </w:pPr>
          <w:hyperlink w:anchor="_Toc186356454" w:history="1">
            <w:r w:rsidRPr="00D91FE8">
              <w:rPr>
                <w:rStyle w:val="Hyperlink"/>
                <w:noProof/>
              </w:rPr>
              <w:t>Part V: Ten Practical Steps Toward Human 2.0</w:t>
            </w:r>
            <w:r>
              <w:rPr>
                <w:noProof/>
                <w:webHidden/>
              </w:rPr>
              <w:tab/>
            </w:r>
            <w:r>
              <w:rPr>
                <w:noProof/>
                <w:webHidden/>
              </w:rPr>
              <w:fldChar w:fldCharType="begin"/>
            </w:r>
            <w:r>
              <w:rPr>
                <w:noProof/>
                <w:webHidden/>
              </w:rPr>
              <w:instrText xml:space="preserve"> PAGEREF _Toc186356454 \h </w:instrText>
            </w:r>
            <w:r>
              <w:rPr>
                <w:noProof/>
                <w:webHidden/>
              </w:rPr>
            </w:r>
            <w:r>
              <w:rPr>
                <w:noProof/>
                <w:webHidden/>
              </w:rPr>
              <w:fldChar w:fldCharType="separate"/>
            </w:r>
            <w:r>
              <w:rPr>
                <w:noProof/>
                <w:webHidden/>
              </w:rPr>
              <w:t>19</w:t>
            </w:r>
            <w:r>
              <w:rPr>
                <w:noProof/>
                <w:webHidden/>
              </w:rPr>
              <w:fldChar w:fldCharType="end"/>
            </w:r>
          </w:hyperlink>
        </w:p>
        <w:p w14:paraId="55B82281" w14:textId="059B1DFF" w:rsidR="004004A9" w:rsidRDefault="004004A9">
          <w:pPr>
            <w:pStyle w:val="TOC2"/>
            <w:tabs>
              <w:tab w:val="right" w:leader="dot" w:pos="9350"/>
            </w:tabs>
            <w:rPr>
              <w:rFonts w:eastAsiaTheme="minorEastAsia"/>
              <w:b w:val="0"/>
              <w:bCs w:val="0"/>
              <w:noProof/>
              <w:sz w:val="24"/>
              <w:szCs w:val="24"/>
            </w:rPr>
          </w:pPr>
          <w:hyperlink w:anchor="_Toc186356455" w:history="1">
            <w:r w:rsidRPr="00D91FE8">
              <w:rPr>
                <w:rStyle w:val="Hyperlink"/>
                <w:noProof/>
              </w:rPr>
              <w:t>Part VI: The Ten Principles for Knowledge as a Human Right</w:t>
            </w:r>
            <w:r>
              <w:rPr>
                <w:noProof/>
                <w:webHidden/>
              </w:rPr>
              <w:tab/>
            </w:r>
            <w:r>
              <w:rPr>
                <w:noProof/>
                <w:webHidden/>
              </w:rPr>
              <w:fldChar w:fldCharType="begin"/>
            </w:r>
            <w:r>
              <w:rPr>
                <w:noProof/>
                <w:webHidden/>
              </w:rPr>
              <w:instrText xml:space="preserve"> PAGEREF _Toc186356455 \h </w:instrText>
            </w:r>
            <w:r>
              <w:rPr>
                <w:noProof/>
                <w:webHidden/>
              </w:rPr>
            </w:r>
            <w:r>
              <w:rPr>
                <w:noProof/>
                <w:webHidden/>
              </w:rPr>
              <w:fldChar w:fldCharType="separate"/>
            </w:r>
            <w:r>
              <w:rPr>
                <w:noProof/>
                <w:webHidden/>
              </w:rPr>
              <w:t>21</w:t>
            </w:r>
            <w:r>
              <w:rPr>
                <w:noProof/>
                <w:webHidden/>
              </w:rPr>
              <w:fldChar w:fldCharType="end"/>
            </w:r>
          </w:hyperlink>
        </w:p>
        <w:p w14:paraId="14108050" w14:textId="0C924506" w:rsidR="004004A9" w:rsidRDefault="004004A9">
          <w:pPr>
            <w:pStyle w:val="TOC2"/>
            <w:tabs>
              <w:tab w:val="right" w:leader="dot" w:pos="9350"/>
            </w:tabs>
            <w:rPr>
              <w:rFonts w:eastAsiaTheme="minorEastAsia"/>
              <w:b w:val="0"/>
              <w:bCs w:val="0"/>
              <w:noProof/>
              <w:sz w:val="24"/>
              <w:szCs w:val="24"/>
            </w:rPr>
          </w:pPr>
          <w:hyperlink w:anchor="_Toc186356456" w:history="1">
            <w:r w:rsidRPr="00D91FE8">
              <w:rPr>
                <w:rStyle w:val="Hyperlink"/>
                <w:noProof/>
              </w:rPr>
              <w:t>Epilogue: A Boundless Horizon</w:t>
            </w:r>
            <w:r>
              <w:rPr>
                <w:noProof/>
                <w:webHidden/>
              </w:rPr>
              <w:tab/>
            </w:r>
            <w:r>
              <w:rPr>
                <w:noProof/>
                <w:webHidden/>
              </w:rPr>
              <w:fldChar w:fldCharType="begin"/>
            </w:r>
            <w:r>
              <w:rPr>
                <w:noProof/>
                <w:webHidden/>
              </w:rPr>
              <w:instrText xml:space="preserve"> PAGEREF _Toc186356456 \h </w:instrText>
            </w:r>
            <w:r>
              <w:rPr>
                <w:noProof/>
                <w:webHidden/>
              </w:rPr>
            </w:r>
            <w:r>
              <w:rPr>
                <w:noProof/>
                <w:webHidden/>
              </w:rPr>
              <w:fldChar w:fldCharType="separate"/>
            </w:r>
            <w:r>
              <w:rPr>
                <w:noProof/>
                <w:webHidden/>
              </w:rPr>
              <w:t>22</w:t>
            </w:r>
            <w:r>
              <w:rPr>
                <w:noProof/>
                <w:webHidden/>
              </w:rPr>
              <w:fldChar w:fldCharType="end"/>
            </w:r>
          </w:hyperlink>
        </w:p>
        <w:p w14:paraId="5817418C" w14:textId="5A6E189B" w:rsidR="004004A9" w:rsidRDefault="004004A9">
          <w:pPr>
            <w:pStyle w:val="TOC3"/>
            <w:tabs>
              <w:tab w:val="right" w:leader="dot" w:pos="9350"/>
            </w:tabs>
            <w:rPr>
              <w:rFonts w:eastAsiaTheme="minorEastAsia"/>
              <w:noProof/>
              <w:sz w:val="24"/>
              <w:szCs w:val="24"/>
            </w:rPr>
          </w:pPr>
          <w:hyperlink w:anchor="_Toc186356457" w:history="1">
            <w:r w:rsidRPr="00D91FE8">
              <w:rPr>
                <w:rStyle w:val="Hyperlink"/>
                <w:noProof/>
              </w:rPr>
              <w:t>From Smartphones to Mindful Synergy</w:t>
            </w:r>
            <w:r>
              <w:rPr>
                <w:noProof/>
                <w:webHidden/>
              </w:rPr>
              <w:tab/>
            </w:r>
            <w:r>
              <w:rPr>
                <w:noProof/>
                <w:webHidden/>
              </w:rPr>
              <w:fldChar w:fldCharType="begin"/>
            </w:r>
            <w:r>
              <w:rPr>
                <w:noProof/>
                <w:webHidden/>
              </w:rPr>
              <w:instrText xml:space="preserve"> PAGEREF _Toc186356457 \h </w:instrText>
            </w:r>
            <w:r>
              <w:rPr>
                <w:noProof/>
                <w:webHidden/>
              </w:rPr>
            </w:r>
            <w:r>
              <w:rPr>
                <w:noProof/>
                <w:webHidden/>
              </w:rPr>
              <w:fldChar w:fldCharType="separate"/>
            </w:r>
            <w:r>
              <w:rPr>
                <w:noProof/>
                <w:webHidden/>
              </w:rPr>
              <w:t>22</w:t>
            </w:r>
            <w:r>
              <w:rPr>
                <w:noProof/>
                <w:webHidden/>
              </w:rPr>
              <w:fldChar w:fldCharType="end"/>
            </w:r>
          </w:hyperlink>
        </w:p>
        <w:p w14:paraId="0F3A7273" w14:textId="03582CD1" w:rsidR="004004A9" w:rsidRDefault="004004A9">
          <w:pPr>
            <w:pStyle w:val="TOC3"/>
            <w:tabs>
              <w:tab w:val="right" w:leader="dot" w:pos="9350"/>
            </w:tabs>
            <w:rPr>
              <w:rFonts w:eastAsiaTheme="minorEastAsia"/>
              <w:noProof/>
              <w:sz w:val="24"/>
              <w:szCs w:val="24"/>
            </w:rPr>
          </w:pPr>
          <w:hyperlink w:anchor="_Toc186356458" w:history="1">
            <w:r w:rsidRPr="00D91FE8">
              <w:rPr>
                <w:rStyle w:val="Hyperlink"/>
                <w:noProof/>
              </w:rPr>
              <w:t>Tomorrow’s Next Leap</w:t>
            </w:r>
            <w:r>
              <w:rPr>
                <w:noProof/>
                <w:webHidden/>
              </w:rPr>
              <w:tab/>
            </w:r>
            <w:r>
              <w:rPr>
                <w:noProof/>
                <w:webHidden/>
              </w:rPr>
              <w:fldChar w:fldCharType="begin"/>
            </w:r>
            <w:r>
              <w:rPr>
                <w:noProof/>
                <w:webHidden/>
              </w:rPr>
              <w:instrText xml:space="preserve"> PAGEREF _Toc186356458 \h </w:instrText>
            </w:r>
            <w:r>
              <w:rPr>
                <w:noProof/>
                <w:webHidden/>
              </w:rPr>
            </w:r>
            <w:r>
              <w:rPr>
                <w:noProof/>
                <w:webHidden/>
              </w:rPr>
              <w:fldChar w:fldCharType="separate"/>
            </w:r>
            <w:r>
              <w:rPr>
                <w:noProof/>
                <w:webHidden/>
              </w:rPr>
              <w:t>23</w:t>
            </w:r>
            <w:r>
              <w:rPr>
                <w:noProof/>
                <w:webHidden/>
              </w:rPr>
              <w:fldChar w:fldCharType="end"/>
            </w:r>
          </w:hyperlink>
        </w:p>
        <w:p w14:paraId="50457068" w14:textId="0D566D29" w:rsidR="004004A9" w:rsidRDefault="004004A9">
          <w:pPr>
            <w:pStyle w:val="TOC3"/>
            <w:tabs>
              <w:tab w:val="right" w:leader="dot" w:pos="9350"/>
            </w:tabs>
            <w:rPr>
              <w:rFonts w:eastAsiaTheme="minorEastAsia"/>
              <w:noProof/>
              <w:sz w:val="24"/>
              <w:szCs w:val="24"/>
            </w:rPr>
          </w:pPr>
          <w:hyperlink w:anchor="_Toc186356459" w:history="1">
            <w:r w:rsidRPr="00D91FE8">
              <w:rPr>
                <w:rStyle w:val="Hyperlink"/>
                <w:noProof/>
              </w:rPr>
              <w:t>A Final Word of Gratitude</w:t>
            </w:r>
            <w:r>
              <w:rPr>
                <w:noProof/>
                <w:webHidden/>
              </w:rPr>
              <w:tab/>
            </w:r>
            <w:r>
              <w:rPr>
                <w:noProof/>
                <w:webHidden/>
              </w:rPr>
              <w:fldChar w:fldCharType="begin"/>
            </w:r>
            <w:r>
              <w:rPr>
                <w:noProof/>
                <w:webHidden/>
              </w:rPr>
              <w:instrText xml:space="preserve"> PAGEREF _Toc186356459 \h </w:instrText>
            </w:r>
            <w:r>
              <w:rPr>
                <w:noProof/>
                <w:webHidden/>
              </w:rPr>
            </w:r>
            <w:r>
              <w:rPr>
                <w:noProof/>
                <w:webHidden/>
              </w:rPr>
              <w:fldChar w:fldCharType="separate"/>
            </w:r>
            <w:r>
              <w:rPr>
                <w:noProof/>
                <w:webHidden/>
              </w:rPr>
              <w:t>23</w:t>
            </w:r>
            <w:r>
              <w:rPr>
                <w:noProof/>
                <w:webHidden/>
              </w:rPr>
              <w:fldChar w:fldCharType="end"/>
            </w:r>
          </w:hyperlink>
        </w:p>
        <w:p w14:paraId="60E639CA" w14:textId="12F61C54" w:rsidR="00E34CB9" w:rsidRDefault="00E34CB9">
          <w:r>
            <w:rPr>
              <w:b/>
              <w:bCs/>
              <w:noProof/>
            </w:rPr>
            <w:fldChar w:fldCharType="end"/>
          </w:r>
        </w:p>
      </w:sdtContent>
    </w:sdt>
    <w:p w14:paraId="2A6E24D7" w14:textId="77777777" w:rsidR="00E34CB9" w:rsidRDefault="00E34CB9">
      <w:pPr>
        <w:rPr>
          <w:rStyle w:val="Strong"/>
          <w:rFonts w:asciiTheme="majorHAnsi" w:eastAsiaTheme="majorEastAsia" w:hAnsiTheme="majorHAnsi" w:cstheme="majorBidi"/>
          <w:b w:val="0"/>
          <w:bCs w:val="0"/>
          <w:color w:val="0F4761" w:themeColor="accent1" w:themeShade="BF"/>
          <w:sz w:val="40"/>
          <w:szCs w:val="40"/>
        </w:rPr>
      </w:pPr>
      <w:r>
        <w:rPr>
          <w:rStyle w:val="Strong"/>
          <w:b w:val="0"/>
          <w:bCs w:val="0"/>
        </w:rPr>
        <w:br w:type="page"/>
      </w:r>
    </w:p>
    <w:p w14:paraId="4B1EEADA" w14:textId="2C113013" w:rsidR="00FA1267" w:rsidRPr="00E34CB9" w:rsidRDefault="00FA1267" w:rsidP="00807BA4">
      <w:pPr>
        <w:pStyle w:val="Heading2"/>
      </w:pPr>
      <w:bookmarkStart w:id="1" w:name="_Toc186356443"/>
      <w:r w:rsidRPr="00E34CB9">
        <w:rPr>
          <w:rStyle w:val="Strong"/>
          <w:b w:val="0"/>
          <w:bCs w:val="0"/>
        </w:rPr>
        <w:lastRenderedPageBreak/>
        <w:t>Foreword</w:t>
      </w:r>
      <w:bookmarkEnd w:id="1"/>
    </w:p>
    <w:p w14:paraId="7C249544" w14:textId="77777777" w:rsidR="00FA1267" w:rsidRPr="003969FC" w:rsidRDefault="00FA1267" w:rsidP="00FA1267">
      <w:pPr>
        <w:pStyle w:val="NormalWeb"/>
      </w:pPr>
      <w:r w:rsidRPr="003969FC">
        <w:t xml:space="preserve">We stand at the edge of an extraordinary threshold—a point in history where knowledge is no longer a finite resource for the privileged few, but the rightful inheritance of all. For generations, barriers of wealth, location, and institutional inertia have shackled human curiosity, confining the spark of insight to narrow halls and rigid curricula. Yet in the swirl of our current era, we witness the rise of </w:t>
      </w:r>
      <w:r w:rsidRPr="003969FC">
        <w:rPr>
          <w:rStyle w:val="Strong"/>
          <w:rFonts w:eastAsiaTheme="majorEastAsia"/>
        </w:rPr>
        <w:t>artificial intelligence mentors</w:t>
      </w:r>
      <w:r w:rsidRPr="003969FC">
        <w:t xml:space="preserve">, near-seamless </w:t>
      </w:r>
      <w:r w:rsidRPr="003969FC">
        <w:rPr>
          <w:rStyle w:val="Strong"/>
          <w:rFonts w:eastAsiaTheme="majorEastAsia"/>
        </w:rPr>
        <w:t>extended reality</w:t>
      </w:r>
      <w:r w:rsidRPr="003969FC">
        <w:t xml:space="preserve"> experiences, and intuitive </w:t>
      </w:r>
      <w:r w:rsidRPr="003969FC">
        <w:rPr>
          <w:rStyle w:val="Strong"/>
          <w:rFonts w:eastAsiaTheme="majorEastAsia"/>
        </w:rPr>
        <w:t>brain-computer interfaces</w:t>
      </w:r>
      <w:r w:rsidRPr="003969FC">
        <w:t xml:space="preserve"> that put even the wildest 20th-century dreams to shame.</w:t>
      </w:r>
    </w:p>
    <w:p w14:paraId="227F5D5F" w14:textId="77777777" w:rsidR="00FA1267" w:rsidRPr="003969FC" w:rsidRDefault="00FA1267" w:rsidP="00FA1267">
      <w:pPr>
        <w:pStyle w:val="NormalWeb"/>
      </w:pPr>
      <w:r w:rsidRPr="003969FC">
        <w:t xml:space="preserve">What does this confluence of technology and aspiration mean? It means that a rural farmer can instantaneously learn cutting-edge irrigation techniques for her land. It means that a factory worker laid off by automation can swiftly retrain in weeks for an entirely new profession—equipped with micro-burst lessons and empathic AI guidance. It means that students—whether six years old or sixty—can glean entire galaxies of knowledge at will, each mastering vital skills without the confines of outdated systems. This is the new territory we call </w:t>
      </w:r>
      <w:r w:rsidRPr="003969FC">
        <w:rPr>
          <w:rStyle w:val="Strong"/>
          <w:rFonts w:eastAsiaTheme="majorEastAsia"/>
        </w:rPr>
        <w:t>Human 2.0</w:t>
      </w:r>
      <w:r w:rsidRPr="003969FC">
        <w:t>.</w:t>
      </w:r>
    </w:p>
    <w:p w14:paraId="0B2DCF2B" w14:textId="77777777" w:rsidR="00FA1267" w:rsidRPr="003969FC" w:rsidRDefault="00FA1267" w:rsidP="00FA1267">
      <w:pPr>
        <w:pStyle w:val="NormalWeb"/>
      </w:pPr>
      <w:r w:rsidRPr="003969FC">
        <w:t xml:space="preserve">But alongside these transformations lies a moral mandate: </w:t>
      </w:r>
      <w:r w:rsidRPr="003969FC">
        <w:rPr>
          <w:rStyle w:val="Strong"/>
          <w:rFonts w:eastAsiaTheme="majorEastAsia"/>
        </w:rPr>
        <w:t>Knowledge is a Human Right</w:t>
      </w:r>
      <w:r w:rsidRPr="003969FC">
        <w:t>. Just as clean water, basic healthcare, and personal liberties have long been deemed necessities for a dignified life, so too must open, continuous learning step into that same circle of universal rights. The promise is vast. Freed from scarcity thinking, people can reimagine their livelihoods, fortify their communities, and nurture creativity that addresses real problems—from ecological threats to global collaborations on interplanetary missions.</w:t>
      </w:r>
    </w:p>
    <w:p w14:paraId="77716D4C" w14:textId="77777777" w:rsidR="00FA1267" w:rsidRPr="003969FC" w:rsidRDefault="00FA1267" w:rsidP="00FA1267">
      <w:pPr>
        <w:pStyle w:val="NormalWeb"/>
      </w:pPr>
      <w:r w:rsidRPr="003969FC">
        <w:t xml:space="preserve">This manifesto unfolds as both guidebook and clarion call. You will find no rigid dogma here—only the conviction that each of us, empowered by curiosity, empathy, and technology, can reclaim the thrill of purposeful living. We need not fear automation or alienation if we embrace </w:t>
      </w:r>
      <w:r w:rsidRPr="003969FC">
        <w:rPr>
          <w:rStyle w:val="Strong"/>
          <w:rFonts w:eastAsiaTheme="majorEastAsia"/>
        </w:rPr>
        <w:t>Learn–Train–Perform</w:t>
      </w:r>
      <w:r w:rsidRPr="003969FC">
        <w:t xml:space="preserve">: learning the essentials rapidly (with “knowledge injection” and micro-certifications), honing them through flexible, real-world practice, and performing tasks that uplift personal dreams and community progress alike. Moreover, </w:t>
      </w:r>
      <w:r w:rsidRPr="003969FC">
        <w:rPr>
          <w:rStyle w:val="Strong"/>
          <w:rFonts w:eastAsiaTheme="majorEastAsia"/>
        </w:rPr>
        <w:t>Mentor XR</w:t>
      </w:r>
      <w:r w:rsidRPr="003969FC">
        <w:t>—our avatar-based AI ally—stands ready to weave knowledge and compassion into daily life, ensuring that advanced technology stays anchored to our deepest human values.</w:t>
      </w:r>
    </w:p>
    <w:p w14:paraId="557B0427" w14:textId="77777777" w:rsidR="00FA1267" w:rsidRPr="003969FC" w:rsidRDefault="00FA1267" w:rsidP="00FA1267">
      <w:pPr>
        <w:pStyle w:val="NormalWeb"/>
      </w:pPr>
      <w:r w:rsidRPr="003969FC">
        <w:t>Indeed, the road ahead spans challenges. Some institutions remain mired in old norms. Economic divides and cultural skepticism may slow adoption. But let this also be a testament to the unstoppable ideal: once knowledge flows openly, unstoppable energy arises from everyday people. Whole towns, entire nations, and interconnected continents discover fresh synergy. And as more of us step into this continuum of “Learn–Train–Perform,” robust collective purpose emerges, displacing cynicism and isolation with creativity and hope.</w:t>
      </w:r>
    </w:p>
    <w:p w14:paraId="6B5B3CA2" w14:textId="77777777" w:rsidR="00FA1267" w:rsidRPr="003969FC" w:rsidRDefault="00FA1267" w:rsidP="00FA1267">
      <w:pPr>
        <w:pStyle w:val="NormalWeb"/>
      </w:pPr>
      <w:r w:rsidRPr="003969FC">
        <w:t>In the pages that follow, we lay out not just theories but tangible steps: how to build inclusive learning hubs, how to scale micro-credentials, how to integrate universal re-skilling policies, and how to preserve the essence of human curiosity amidst rapid change. We detail a path that is practical, flexible, and open to over a billion souls who share one common trait: a yearning for growth.</w:t>
      </w:r>
    </w:p>
    <w:p w14:paraId="26320558" w14:textId="77777777" w:rsidR="00FA1267" w:rsidRPr="003969FC" w:rsidRDefault="00FA1267" w:rsidP="00FA1267">
      <w:pPr>
        <w:pStyle w:val="NormalWeb"/>
      </w:pPr>
      <w:r w:rsidRPr="003969FC">
        <w:lastRenderedPageBreak/>
        <w:t xml:space="preserve">May this manifesto serve as a beacon, reminding us that the spark of curiosity knows no cultural boundary, no economic class, and no generational gap. In uniting advanced technologies with an unassailable commitment to equality, we are not merely equipping ourselves for better jobs or streamlined education. We are forging an era where personal purpose meets communal flourishing—where scarcity thinking gives way to </w:t>
      </w:r>
      <w:r w:rsidRPr="003969FC">
        <w:rPr>
          <w:rStyle w:val="Strong"/>
          <w:rFonts w:eastAsiaTheme="majorEastAsia"/>
        </w:rPr>
        <w:t>abundance</w:t>
      </w:r>
      <w:r w:rsidRPr="003969FC">
        <w:t>; where technology’s gifts become universal tools, not instruments of division; and where the future belongs, irrevocably, to an awakened humanity that joyfully claims its right to learn, to dream, and to thrive.</w:t>
      </w:r>
    </w:p>
    <w:p w14:paraId="0BBACCF6" w14:textId="77777777" w:rsidR="00E34CB9" w:rsidRDefault="00FA1267" w:rsidP="00FA1267">
      <w:pPr>
        <w:rPr>
          <w:rStyle w:val="katex-mathml"/>
          <w:b/>
          <w:bCs/>
        </w:rPr>
      </w:pPr>
      <w:r w:rsidRPr="00E34CB9">
        <w:rPr>
          <w:rStyle w:val="katex-mathml"/>
          <w:b/>
          <w:bCs/>
        </w:rPr>
        <w:t>“Human 2.0 is not a distant endpoint, but the enduring journey of our collective unfolding.”</w:t>
      </w:r>
    </w:p>
    <w:p w14:paraId="14BCD232" w14:textId="77777777" w:rsidR="004004A9" w:rsidRDefault="004004A9" w:rsidP="00FA1267">
      <w:pPr>
        <w:rPr>
          <w:rStyle w:val="katex-mathml"/>
          <w:b/>
          <w:bCs/>
        </w:rPr>
      </w:pPr>
    </w:p>
    <w:p w14:paraId="4D375DD2" w14:textId="473F339E" w:rsidR="004004A9" w:rsidRDefault="004004A9">
      <w:pPr>
        <w:rPr>
          <w:rStyle w:val="katex-mathml"/>
          <w:b/>
          <w:bCs/>
        </w:rPr>
      </w:pPr>
      <w:r>
        <w:rPr>
          <w:rStyle w:val="katex-mathml"/>
          <w:b/>
          <w:bCs/>
        </w:rPr>
        <w:br w:type="page"/>
      </w:r>
    </w:p>
    <w:p w14:paraId="5EAC2038" w14:textId="77777777" w:rsidR="004004A9" w:rsidRDefault="004004A9" w:rsidP="00FA1267">
      <w:pPr>
        <w:rPr>
          <w:rStyle w:val="katex-mathml"/>
          <w:b/>
          <w:bCs/>
        </w:rPr>
      </w:pPr>
    </w:p>
    <w:p w14:paraId="1004C2D5" w14:textId="77777777" w:rsidR="00FA1267" w:rsidRPr="003969FC" w:rsidRDefault="00FA1267" w:rsidP="00FA1267">
      <w:pPr>
        <w:pStyle w:val="Heading2"/>
      </w:pPr>
      <w:bookmarkStart w:id="2" w:name="_Toc186353805"/>
      <w:bookmarkStart w:id="3" w:name="_Toc186356444"/>
      <w:r w:rsidRPr="003969FC">
        <w:t>Part I: Foundations of the Movement</w:t>
      </w:r>
      <w:bookmarkEnd w:id="2"/>
      <w:bookmarkEnd w:id="3"/>
    </w:p>
    <w:p w14:paraId="21B32299" w14:textId="77777777" w:rsidR="00FA1267" w:rsidRPr="003969FC" w:rsidRDefault="0034147F" w:rsidP="00FA1267">
      <w:r>
        <w:rPr>
          <w:noProof/>
        </w:rPr>
        <w:pict w14:anchorId="1FC866C3">
          <v:rect id="_x0000_i1049" alt="" style="width:468pt;height:.05pt;mso-width-percent:0;mso-height-percent:0;mso-width-percent:0;mso-height-percent:0" o:hralign="center" o:hrstd="t" o:hr="t" fillcolor="#a0a0a0" stroked="f"/>
        </w:pict>
      </w:r>
    </w:p>
    <w:p w14:paraId="70430A6A" w14:textId="77777777" w:rsidR="00FA1267" w:rsidRPr="003969FC" w:rsidRDefault="00FA1267" w:rsidP="00FA1267">
      <w:pPr>
        <w:pStyle w:val="Heading3"/>
      </w:pPr>
      <w:bookmarkStart w:id="4" w:name="_Toc186353806"/>
      <w:bookmarkStart w:id="5" w:name="_Toc186356445"/>
      <w:r w:rsidRPr="003969FC">
        <w:t>Chapter 1 – Knowledge as a Human Right</w:t>
      </w:r>
      <w:bookmarkEnd w:id="4"/>
      <w:bookmarkEnd w:id="5"/>
    </w:p>
    <w:p w14:paraId="56F3859C" w14:textId="77777777" w:rsidR="00FA1267" w:rsidRPr="003969FC" w:rsidRDefault="00FA1267" w:rsidP="00FA1267">
      <w:pPr>
        <w:pStyle w:val="Heading4"/>
      </w:pPr>
      <w:r w:rsidRPr="003969FC">
        <w:t>1.1 From Scarcity to Abundance</w:t>
      </w:r>
    </w:p>
    <w:p w14:paraId="57598A50" w14:textId="77777777" w:rsidR="00FA1267" w:rsidRPr="003969FC" w:rsidRDefault="00FA1267" w:rsidP="00FA1267">
      <w:pPr>
        <w:pStyle w:val="NormalWeb"/>
      </w:pPr>
      <w:r w:rsidRPr="003969FC">
        <w:rPr>
          <w:rStyle w:val="Strong"/>
          <w:rFonts w:eastAsiaTheme="majorEastAsia"/>
        </w:rPr>
        <w:t>The Historical Context of Exclusive Education</w:t>
      </w:r>
      <w:r w:rsidRPr="003969FC">
        <w:br/>
        <w:t>Only a few decades ago, formal education often felt like an exclusive club—narrow admissions, high fees, and a curriculum inflexibly tied to brick-and-mortar campuses. Knowledge was literally enclosed in physical textbooks and lecture halls; stepping outside that structure meant risking incomplete or low-status learning. People in remote villages or impoverished urban districts struggled to keep pace with the rapidly shifting job market. A brilliant mind could languish unseen simply because that person had no formal pipeline into higher institutions.</w:t>
      </w:r>
    </w:p>
    <w:p w14:paraId="211BF455" w14:textId="77777777" w:rsidR="00FA1267" w:rsidRPr="003969FC" w:rsidRDefault="00FA1267" w:rsidP="00FA1267">
      <w:pPr>
        <w:pStyle w:val="NormalWeb"/>
      </w:pPr>
      <w:r w:rsidRPr="003969FC">
        <w:rPr>
          <w:rStyle w:val="Strong"/>
          <w:rFonts w:eastAsiaTheme="majorEastAsia"/>
        </w:rPr>
        <w:t>The Moral Imperative: Why Knowledge Must Be Free, Universal, and Ongoing</w:t>
      </w:r>
      <w:r w:rsidRPr="003969FC">
        <w:br/>
        <w:t xml:space="preserve">Today, however, technology has shattered those barriers. AI-driven modules, immersive AR/VR experiences, and instant digital translations have recast knowledge as a resource that should flow to everyone—regardless of age, wealth, or geography. Like water and air, </w:t>
      </w:r>
      <w:r w:rsidRPr="003969FC">
        <w:rPr>
          <w:rStyle w:val="Strong"/>
          <w:rFonts w:eastAsiaTheme="majorEastAsia"/>
        </w:rPr>
        <w:t>learning is an elemental human need</w:t>
      </w:r>
      <w:r w:rsidRPr="003969FC">
        <w:t>. Denying it is not just a missed economic opportunity; it’s an ethical shortfall. By acknowledging that each individual is innately curious and capable, we collectively commit to dismantling old gatekeepers and forging an educational ethos that’s free at the point of use and evolves hand-in-hand with emerging technologies.</w:t>
      </w:r>
    </w:p>
    <w:p w14:paraId="48792F7A" w14:textId="77777777" w:rsidR="00FA1267" w:rsidRPr="003969FC" w:rsidRDefault="0034147F" w:rsidP="00FA1267">
      <w:r>
        <w:rPr>
          <w:noProof/>
        </w:rPr>
        <w:pict w14:anchorId="33E7E843">
          <v:rect id="_x0000_i1048" alt="" style="width:468pt;height:.05pt;mso-width-percent:0;mso-height-percent:0;mso-width-percent:0;mso-height-percent:0" o:hralign="center" o:hrstd="t" o:hr="t" fillcolor="#a0a0a0" stroked="f"/>
        </w:pict>
      </w:r>
    </w:p>
    <w:p w14:paraId="6C1F49E9" w14:textId="77777777" w:rsidR="00FA1267" w:rsidRPr="003969FC" w:rsidRDefault="00FA1267" w:rsidP="00FA1267">
      <w:pPr>
        <w:pStyle w:val="Heading4"/>
      </w:pPr>
      <w:r w:rsidRPr="003969FC">
        <w:t>1.2 Embracing Human 2.0</w:t>
      </w:r>
    </w:p>
    <w:p w14:paraId="076373BF" w14:textId="77777777" w:rsidR="00FA1267" w:rsidRPr="003969FC" w:rsidRDefault="00FA1267" w:rsidP="00FA1267">
      <w:pPr>
        <w:pStyle w:val="NormalWeb"/>
      </w:pPr>
      <w:r w:rsidRPr="003969FC">
        <w:rPr>
          <w:rStyle w:val="Strong"/>
          <w:rFonts w:eastAsiaTheme="majorEastAsia"/>
        </w:rPr>
        <w:t>Definition: Evolving from “Human 1.3” (smartphone era) to a Synergy of Mind, AI, and Extended Reality</w:t>
      </w:r>
      <w:r w:rsidRPr="003969FC">
        <w:br/>
        <w:t xml:space="preserve">The journey from </w:t>
      </w:r>
      <w:r w:rsidRPr="003969FC">
        <w:rPr>
          <w:rStyle w:val="Strong"/>
          <w:rFonts w:eastAsiaTheme="majorEastAsia"/>
        </w:rPr>
        <w:t>Human 1.3</w:t>
      </w:r>
      <w:r w:rsidRPr="003969FC">
        <w:t xml:space="preserve">—where smartphones felt like digital appendages—into </w:t>
      </w:r>
      <w:r w:rsidRPr="003969FC">
        <w:rPr>
          <w:rStyle w:val="Strong"/>
          <w:rFonts w:eastAsiaTheme="majorEastAsia"/>
        </w:rPr>
        <w:t>Human 2.0</w:t>
      </w:r>
      <w:r w:rsidRPr="003969FC">
        <w:t xml:space="preserve"> represents a seismic shift in how we learn, communicate, and live. Instead of tapping on screens, we now engage with AI mentors that sense our emotional states, AR devices that seamlessly overlay knowledge onto daily tasks, and neural interfaces that reduce the gap between intention and execution. The smartphone era was an essential stepping stone, but it pales before a future where technology and cognition merge more fluidly, offering learning that’s ever-present yet rarely intrusive.</w:t>
      </w:r>
    </w:p>
    <w:p w14:paraId="0D5C22DB" w14:textId="77777777" w:rsidR="00FA1267" w:rsidRPr="003969FC" w:rsidRDefault="00FA1267" w:rsidP="00FA1267">
      <w:pPr>
        <w:pStyle w:val="NormalWeb"/>
      </w:pPr>
      <w:r w:rsidRPr="003969FC">
        <w:rPr>
          <w:rStyle w:val="Strong"/>
          <w:rFonts w:eastAsiaTheme="majorEastAsia"/>
        </w:rPr>
        <w:t>Core Tools: Brain-Computer Interfaces (BCIs), Augmented Reality Eyewear, and Empathetic AI Systems</w:t>
      </w:r>
    </w:p>
    <w:p w14:paraId="22B1F571" w14:textId="77777777" w:rsidR="00FA1267" w:rsidRPr="003969FC" w:rsidRDefault="00FA1267" w:rsidP="00FA1267">
      <w:pPr>
        <w:numPr>
          <w:ilvl w:val="0"/>
          <w:numId w:val="197"/>
        </w:numPr>
        <w:spacing w:before="100" w:beforeAutospacing="1" w:after="100" w:afterAutospacing="1"/>
      </w:pPr>
      <w:r w:rsidRPr="003969FC">
        <w:rPr>
          <w:rStyle w:val="Strong"/>
        </w:rPr>
        <w:t>BCIs</w:t>
      </w:r>
      <w:r w:rsidRPr="003969FC">
        <w:t>: No longer confined to labs, these headsets or subtle patches open up near-instant neural feedback. They facilitate “thought-typing” or real-time emotional support, gently guiding users to refine their concentration or accelerate skill mastery.</w:t>
      </w:r>
    </w:p>
    <w:p w14:paraId="2021A746" w14:textId="77777777" w:rsidR="00FA1267" w:rsidRPr="003969FC" w:rsidRDefault="00FA1267" w:rsidP="00FA1267">
      <w:pPr>
        <w:numPr>
          <w:ilvl w:val="0"/>
          <w:numId w:val="197"/>
        </w:numPr>
        <w:spacing w:before="100" w:beforeAutospacing="1" w:after="100" w:afterAutospacing="1"/>
      </w:pPr>
      <w:r w:rsidRPr="003969FC">
        <w:rPr>
          <w:rStyle w:val="Strong"/>
        </w:rPr>
        <w:lastRenderedPageBreak/>
        <w:t>AR Eyewear</w:t>
      </w:r>
      <w:r w:rsidRPr="003969FC">
        <w:t>: The next evolution beyond phone screens, AR glasses provide context-sensitive overlays—from step-by-step maintenance tutorials for a bike repair to real-time language translation during casual conversations.</w:t>
      </w:r>
    </w:p>
    <w:p w14:paraId="461AFD40" w14:textId="77777777" w:rsidR="00FA1267" w:rsidRPr="003969FC" w:rsidRDefault="00FA1267" w:rsidP="00FA1267">
      <w:pPr>
        <w:numPr>
          <w:ilvl w:val="0"/>
          <w:numId w:val="197"/>
        </w:numPr>
        <w:spacing w:before="100" w:beforeAutospacing="1" w:after="100" w:afterAutospacing="1"/>
      </w:pPr>
      <w:r w:rsidRPr="003969FC">
        <w:rPr>
          <w:rStyle w:val="Strong"/>
        </w:rPr>
        <w:t>Empathetic AI Systems</w:t>
      </w:r>
      <w:r w:rsidRPr="003969FC">
        <w:t>: A far cry from soulless chatbots, these mentors sense your confusion or enthusiasm, nudging you toward deeper learning when it benefits you most—or pausing when you need rest or reflection.</w:t>
      </w:r>
    </w:p>
    <w:p w14:paraId="14724B68" w14:textId="77777777" w:rsidR="00FA1267" w:rsidRPr="003969FC" w:rsidRDefault="0034147F" w:rsidP="00FA1267">
      <w:r>
        <w:rPr>
          <w:noProof/>
        </w:rPr>
        <w:pict w14:anchorId="6757955B">
          <v:rect id="_x0000_i1047" alt="" style="width:468pt;height:.05pt;mso-width-percent:0;mso-height-percent:0;mso-width-percent:0;mso-height-percent:0" o:hralign="center" o:hrstd="t" o:hr="t" fillcolor="#a0a0a0" stroked="f"/>
        </w:pict>
      </w:r>
    </w:p>
    <w:p w14:paraId="7FC38F5F" w14:textId="77777777" w:rsidR="00FA1267" w:rsidRPr="003969FC" w:rsidRDefault="00FA1267" w:rsidP="00FA1267">
      <w:pPr>
        <w:pStyle w:val="Heading4"/>
      </w:pPr>
      <w:r w:rsidRPr="003969FC">
        <w:t>1.3 The Learn–Train–Perform Paradigm</w:t>
      </w:r>
    </w:p>
    <w:p w14:paraId="0C60315E" w14:textId="77777777" w:rsidR="00FA1267" w:rsidRPr="003969FC" w:rsidRDefault="00FA1267" w:rsidP="00FA1267">
      <w:pPr>
        <w:pStyle w:val="NormalWeb"/>
      </w:pPr>
      <w:r w:rsidRPr="003969FC">
        <w:rPr>
          <w:rStyle w:val="Strong"/>
          <w:rFonts w:eastAsiaTheme="majorEastAsia"/>
        </w:rPr>
        <w:t>Concept: Learning (Brief Knowledge Injection), Practicing or Refining (Train), and Day-to-Day Application (Perform)</w:t>
      </w:r>
    </w:p>
    <w:p w14:paraId="61528E61" w14:textId="77777777" w:rsidR="00FA1267" w:rsidRPr="003969FC" w:rsidRDefault="00FA1267" w:rsidP="00FA1267">
      <w:pPr>
        <w:numPr>
          <w:ilvl w:val="0"/>
          <w:numId w:val="198"/>
        </w:numPr>
        <w:spacing w:before="100" w:beforeAutospacing="1" w:after="100" w:afterAutospacing="1"/>
      </w:pPr>
      <w:r w:rsidRPr="003969FC">
        <w:rPr>
          <w:rStyle w:val="Strong"/>
        </w:rPr>
        <w:t>Learn</w:t>
      </w:r>
      <w:r w:rsidRPr="003969FC">
        <w:t>: In small, digestible chunks, individuals receive “knowledge injections” that fit directly into daily life—like micro-burst lessons on coding fundamentals or the basics of advanced welding. The point is agile understanding, free from laborious, one-size-fits-all lectures.</w:t>
      </w:r>
    </w:p>
    <w:p w14:paraId="372D1806" w14:textId="77777777" w:rsidR="00FA1267" w:rsidRPr="003969FC" w:rsidRDefault="00FA1267" w:rsidP="00FA1267">
      <w:pPr>
        <w:numPr>
          <w:ilvl w:val="0"/>
          <w:numId w:val="198"/>
        </w:numPr>
        <w:spacing w:before="100" w:beforeAutospacing="1" w:after="100" w:afterAutospacing="1"/>
      </w:pPr>
      <w:r w:rsidRPr="003969FC">
        <w:rPr>
          <w:rStyle w:val="Strong"/>
        </w:rPr>
        <w:t>Train</w:t>
      </w:r>
      <w:r w:rsidRPr="003969FC">
        <w:t>: Having glimpsed new knowledge, users refine it through immersion—</w:t>
      </w:r>
      <w:r w:rsidRPr="003969FC">
        <w:rPr>
          <w:rStyle w:val="Strong"/>
        </w:rPr>
        <w:t>Train AI</w:t>
      </w:r>
      <w:r w:rsidRPr="003969FC">
        <w:t xml:space="preserve"> simulations let them practice tasks in virtual or mixed realities. Mistakes are risk-free, and mentors give instant corrective feedback.</w:t>
      </w:r>
    </w:p>
    <w:p w14:paraId="57FF7086" w14:textId="77777777" w:rsidR="00FA1267" w:rsidRPr="003969FC" w:rsidRDefault="00FA1267" w:rsidP="00FA1267">
      <w:pPr>
        <w:numPr>
          <w:ilvl w:val="0"/>
          <w:numId w:val="198"/>
        </w:numPr>
        <w:spacing w:before="100" w:beforeAutospacing="1" w:after="100" w:afterAutospacing="1"/>
      </w:pPr>
      <w:r w:rsidRPr="003969FC">
        <w:rPr>
          <w:rStyle w:val="Strong"/>
        </w:rPr>
        <w:t>Perform</w:t>
      </w:r>
      <w:r w:rsidRPr="003969FC">
        <w:t>: The final step is embedding learned skills in real-world contexts. Whether through short-term projects, on-the-job tasks, or creative experiments, learners confidently transition from mere concepts to actual execution.</w:t>
      </w:r>
    </w:p>
    <w:p w14:paraId="7D8CB66B" w14:textId="77777777" w:rsidR="00FA1267" w:rsidRPr="003969FC" w:rsidRDefault="00FA1267" w:rsidP="00FA1267">
      <w:pPr>
        <w:pStyle w:val="NormalWeb"/>
      </w:pPr>
      <w:r w:rsidRPr="003969FC">
        <w:rPr>
          <w:rStyle w:val="Strong"/>
          <w:rFonts w:eastAsiaTheme="majorEastAsia"/>
        </w:rPr>
        <w:t>Why It Matters: Instills Continuous Growth Without Rigid Schooling</w:t>
      </w:r>
      <w:r w:rsidRPr="003969FC">
        <w:br/>
        <w:t>Crucially, this cycle never halts. Instead of the abrupt end of “graduation” or the anxiety that stifles midlife career shifts, an ever-turning wheel of Learn–Train–Perform nurtures lifelong adaptation and exploration. It taps into every individual’s natural curiosity, democratizes advanced skill sets, and lightens the gravity around formal credentials. People thrive on iterative mastery, building on each burst of learning in an easy, organic flow. Organizations thrive as well, welcoming a flexible workforce eager to pivot into emerging roles, kept sharp by the same cycle of instant knowledge injection and realistic training modules.</w:t>
      </w:r>
    </w:p>
    <w:p w14:paraId="1A3F1CBC" w14:textId="77777777" w:rsidR="00FA1267" w:rsidRDefault="00FA1267" w:rsidP="00FA1267">
      <w:pPr>
        <w:pStyle w:val="NormalWeb"/>
      </w:pPr>
      <w:r w:rsidRPr="003969FC">
        <w:t xml:space="preserve">In short, </w:t>
      </w:r>
      <w:r w:rsidRPr="003969FC">
        <w:rPr>
          <w:rStyle w:val="Strong"/>
          <w:rFonts w:eastAsiaTheme="majorEastAsia"/>
        </w:rPr>
        <w:t>Human 2.0</w:t>
      </w:r>
      <w:r w:rsidRPr="003969FC">
        <w:t xml:space="preserve"> is not just a technological leap; it is a social and ethical evolution—one where </w:t>
      </w:r>
      <w:r w:rsidRPr="003969FC">
        <w:rPr>
          <w:rStyle w:val="Strong"/>
          <w:rFonts w:eastAsiaTheme="majorEastAsia"/>
        </w:rPr>
        <w:t>knowledge as a human right</w:t>
      </w:r>
      <w:r w:rsidRPr="003969FC">
        <w:t xml:space="preserve"> meets a new model of continuous skill infusion and application. This chapter presents the bedrock for that journey, illuminating how we arrived at the threshold of abundance and why we must unify moral imperatives with innovative technology to usher in a future worthy of everyone’s potential.</w:t>
      </w:r>
    </w:p>
    <w:p w14:paraId="518FA044" w14:textId="37C43081" w:rsidR="004004A9" w:rsidRDefault="004004A9">
      <w:pPr>
        <w:rPr>
          <w:rFonts w:ascii="Times New Roman" w:eastAsia="Times New Roman" w:hAnsi="Times New Roman" w:cs="Times New Roman"/>
          <w:kern w:val="0"/>
          <w14:ligatures w14:val="none"/>
        </w:rPr>
      </w:pPr>
      <w:r>
        <w:br w:type="page"/>
      </w:r>
    </w:p>
    <w:p w14:paraId="7C858380" w14:textId="77777777" w:rsidR="004004A9" w:rsidRPr="003969FC" w:rsidRDefault="004004A9" w:rsidP="00FA1267">
      <w:pPr>
        <w:pStyle w:val="NormalWeb"/>
      </w:pPr>
    </w:p>
    <w:p w14:paraId="2A46D300" w14:textId="77777777" w:rsidR="00FA1267" w:rsidRPr="003969FC" w:rsidRDefault="00FA1267" w:rsidP="00FA1267">
      <w:pPr>
        <w:pStyle w:val="Heading2"/>
      </w:pPr>
      <w:bookmarkStart w:id="6" w:name="_Toc186353807"/>
      <w:bookmarkStart w:id="7" w:name="_Toc186356446"/>
      <w:r w:rsidRPr="003969FC">
        <w:t>Part II: The Practical Heart—Methodologies &amp; Tech</w:t>
      </w:r>
      <w:bookmarkEnd w:id="6"/>
      <w:bookmarkEnd w:id="7"/>
    </w:p>
    <w:p w14:paraId="7A195FDE" w14:textId="77777777" w:rsidR="00FA1267" w:rsidRPr="003969FC" w:rsidRDefault="0034147F" w:rsidP="00FA1267">
      <w:r>
        <w:rPr>
          <w:noProof/>
        </w:rPr>
        <w:pict w14:anchorId="5C9ED3D5">
          <v:rect id="_x0000_i1046" alt="" style="width:468pt;height:.05pt;mso-width-percent:0;mso-height-percent:0;mso-width-percent:0;mso-height-percent:0" o:hralign="center" o:hrstd="t" o:hr="t" fillcolor="#a0a0a0" stroked="f"/>
        </w:pict>
      </w:r>
    </w:p>
    <w:p w14:paraId="3A7FC2AE" w14:textId="77777777" w:rsidR="00FA1267" w:rsidRPr="003969FC" w:rsidRDefault="00FA1267" w:rsidP="00FA1267">
      <w:pPr>
        <w:pStyle w:val="Heading3"/>
      </w:pPr>
      <w:bookmarkStart w:id="8" w:name="_Toc186353808"/>
      <w:bookmarkStart w:id="9" w:name="_Toc186356447"/>
      <w:r w:rsidRPr="003969FC">
        <w:t>Chapter 2 – Knowledge Injection &amp; Fast Certifications</w:t>
      </w:r>
      <w:bookmarkEnd w:id="8"/>
      <w:bookmarkEnd w:id="9"/>
    </w:p>
    <w:p w14:paraId="525C70CA" w14:textId="77777777" w:rsidR="00FA1267" w:rsidRPr="003969FC" w:rsidRDefault="00FA1267" w:rsidP="00FA1267">
      <w:pPr>
        <w:pStyle w:val="Heading4"/>
      </w:pPr>
      <w:r w:rsidRPr="003969FC">
        <w:t>2.1 Knowledge Injection</w:t>
      </w:r>
    </w:p>
    <w:p w14:paraId="3F5FDE95" w14:textId="77777777" w:rsidR="00FA1267" w:rsidRPr="003969FC" w:rsidRDefault="00FA1267" w:rsidP="00FA1267">
      <w:pPr>
        <w:pStyle w:val="NormalWeb"/>
      </w:pPr>
      <w:r w:rsidRPr="003969FC">
        <w:rPr>
          <w:rStyle w:val="Strong"/>
          <w:rFonts w:eastAsiaTheme="majorEastAsia"/>
        </w:rPr>
        <w:t>Short-Burst Lessons (AR Micro-Sessions, Quick Mentors) for Immediate Skill Pick-ups</w:t>
      </w:r>
      <w:r w:rsidRPr="003969FC">
        <w:br/>
        <w:t xml:space="preserve">The idea behind </w:t>
      </w:r>
      <w:r w:rsidRPr="003969FC">
        <w:rPr>
          <w:rStyle w:val="Strong"/>
          <w:rFonts w:eastAsiaTheme="majorEastAsia"/>
        </w:rPr>
        <w:t>knowledge injection</w:t>
      </w:r>
      <w:r w:rsidRPr="003969FC">
        <w:t xml:space="preserve"> is brilliantly simple: instead of devoting hours or days to rigid classroom-style lessons, you receive skillful bursts of information—often 5 to 15 minutes long—fused into your daily routine. Whether you’re commuting to work, waiting in a doctor’s office, or taking a short coffee break, these concise lessons leverage tools like </w:t>
      </w:r>
      <w:r w:rsidRPr="003969FC">
        <w:rPr>
          <w:rStyle w:val="Strong"/>
          <w:rFonts w:eastAsiaTheme="majorEastAsia"/>
        </w:rPr>
        <w:t>AR overlays</w:t>
      </w:r>
      <w:r w:rsidRPr="003969FC">
        <w:t xml:space="preserve"> or snippet videos from AI mentors. By meeting you in the flow of life, knowledge injection dissolves the friction that once hindered continuous learning.</w:t>
      </w:r>
    </w:p>
    <w:p w14:paraId="5BEAD4DE" w14:textId="77777777" w:rsidR="00FA1267" w:rsidRPr="003969FC" w:rsidRDefault="00FA1267" w:rsidP="00FA1267">
      <w:pPr>
        <w:pStyle w:val="NormalWeb"/>
      </w:pPr>
      <w:r w:rsidRPr="003969FC">
        <w:rPr>
          <w:rStyle w:val="Strong"/>
          <w:rFonts w:eastAsiaTheme="majorEastAsia"/>
        </w:rPr>
        <w:t>Use Cases: Language Fundamentals, Basic Coding, Nutritional Knowledge, etc.</w:t>
      </w:r>
    </w:p>
    <w:p w14:paraId="5AF52136" w14:textId="77777777" w:rsidR="00FA1267" w:rsidRPr="003969FC" w:rsidRDefault="00FA1267" w:rsidP="00FA1267">
      <w:pPr>
        <w:numPr>
          <w:ilvl w:val="0"/>
          <w:numId w:val="199"/>
        </w:numPr>
        <w:spacing w:before="100" w:beforeAutospacing="1" w:after="100" w:afterAutospacing="1"/>
      </w:pPr>
      <w:r w:rsidRPr="003969FC">
        <w:rPr>
          <w:rStyle w:val="Strong"/>
        </w:rPr>
        <w:t>Language Fundamentals</w:t>
      </w:r>
      <w:r w:rsidRPr="003969FC">
        <w:t>: Practice new vocabulary or grammar rules through quick, AR-based dialogues while strolling down the street.</w:t>
      </w:r>
    </w:p>
    <w:p w14:paraId="09080949" w14:textId="77777777" w:rsidR="00FA1267" w:rsidRPr="003969FC" w:rsidRDefault="00FA1267" w:rsidP="00FA1267">
      <w:pPr>
        <w:numPr>
          <w:ilvl w:val="0"/>
          <w:numId w:val="199"/>
        </w:numPr>
        <w:spacing w:before="100" w:beforeAutospacing="1" w:after="100" w:afterAutospacing="1"/>
      </w:pPr>
      <w:r w:rsidRPr="003969FC">
        <w:rPr>
          <w:rStyle w:val="Strong"/>
        </w:rPr>
        <w:t>Basic Coding Tasks</w:t>
      </w:r>
      <w:r w:rsidRPr="003969FC">
        <w:t>: AI mentors can introduce core programming concepts, integrating coding “puzzles” into micro-breaks so you learn step by step.</w:t>
      </w:r>
    </w:p>
    <w:p w14:paraId="1458E1E1" w14:textId="77777777" w:rsidR="00FA1267" w:rsidRPr="003969FC" w:rsidRDefault="00FA1267" w:rsidP="00FA1267">
      <w:pPr>
        <w:numPr>
          <w:ilvl w:val="0"/>
          <w:numId w:val="199"/>
        </w:numPr>
        <w:spacing w:before="100" w:beforeAutospacing="1" w:after="100" w:afterAutospacing="1"/>
      </w:pPr>
      <w:r w:rsidRPr="003969FC">
        <w:rPr>
          <w:rStyle w:val="Strong"/>
        </w:rPr>
        <w:t>Nutritional Knowledge</w:t>
      </w:r>
      <w:r w:rsidRPr="003969FC">
        <w:t>: As you open your fridge, an AI overlay can highlight ingredient benefits, recommending meal tweaks aligned with your health goals.</w:t>
      </w:r>
    </w:p>
    <w:p w14:paraId="30DE3C99" w14:textId="77777777" w:rsidR="00FA1267" w:rsidRPr="003969FC" w:rsidRDefault="00FA1267" w:rsidP="00FA1267">
      <w:pPr>
        <w:pStyle w:val="NormalWeb"/>
      </w:pPr>
      <w:r w:rsidRPr="003969FC">
        <w:t>These short-burst lessons don’t replace comprehensive study; rather, they whet your appetite for a deeper pursuit. They ensure that every idle moment can spawn a fresh skill set, bridging knowledge gaps effortlessly.</w:t>
      </w:r>
    </w:p>
    <w:p w14:paraId="58C77479" w14:textId="77777777" w:rsidR="00FA1267" w:rsidRPr="003969FC" w:rsidRDefault="0034147F" w:rsidP="00FA1267">
      <w:r>
        <w:rPr>
          <w:noProof/>
        </w:rPr>
        <w:pict w14:anchorId="0B58A0BF">
          <v:rect id="_x0000_i1045" alt="" style="width:468pt;height:.05pt;mso-width-percent:0;mso-height-percent:0;mso-width-percent:0;mso-height-percent:0" o:hralign="center" o:hrstd="t" o:hr="t" fillcolor="#a0a0a0" stroked="f"/>
        </w:pict>
      </w:r>
    </w:p>
    <w:p w14:paraId="76CC3D51" w14:textId="77777777" w:rsidR="00FA1267" w:rsidRPr="003969FC" w:rsidRDefault="00FA1267" w:rsidP="00FA1267">
      <w:pPr>
        <w:pStyle w:val="Heading4"/>
      </w:pPr>
      <w:r w:rsidRPr="003969FC">
        <w:t>2.2 Deep Knowledge &amp; Intensive Modules</w:t>
      </w:r>
    </w:p>
    <w:p w14:paraId="145933D4" w14:textId="77777777" w:rsidR="00FA1267" w:rsidRPr="003969FC" w:rsidRDefault="00FA1267" w:rsidP="00FA1267">
      <w:pPr>
        <w:pStyle w:val="NormalWeb"/>
      </w:pPr>
      <w:r w:rsidRPr="003969FC">
        <w:rPr>
          <w:rStyle w:val="Strong"/>
          <w:rFonts w:eastAsiaTheme="majorEastAsia"/>
        </w:rPr>
        <w:t>Moving Beyond Surface Learning: Structured Modules for In-Depth Mastery</w:t>
      </w:r>
      <w:r w:rsidRPr="003969FC">
        <w:br/>
        <w:t xml:space="preserve">While knowledge injection provides the sparks, </w:t>
      </w:r>
      <w:r w:rsidRPr="003969FC">
        <w:rPr>
          <w:rStyle w:val="Strong"/>
          <w:rFonts w:eastAsiaTheme="majorEastAsia"/>
        </w:rPr>
        <w:t>deep knowledge modules</w:t>
      </w:r>
      <w:r w:rsidRPr="003969FC">
        <w:t xml:space="preserve"> deliver the furnace. Once you’ve gained a taste for a topic—say, advanced carpentry or data analytics—these more structured, multi-week programs guide you from enthusiastic novice to confident practitioner. They blend interactive reading materials, hands-on AR practice, small group meetups (digital or in-person), and ongoing mentorship from AI or human experts.</w:t>
      </w:r>
    </w:p>
    <w:p w14:paraId="3D2618F8" w14:textId="77777777" w:rsidR="00FA1267" w:rsidRPr="003969FC" w:rsidRDefault="00FA1267" w:rsidP="00FA1267">
      <w:pPr>
        <w:pStyle w:val="NormalWeb"/>
      </w:pPr>
      <w:r w:rsidRPr="003969FC">
        <w:rPr>
          <w:rStyle w:val="Strong"/>
          <w:rFonts w:eastAsiaTheme="majorEastAsia"/>
        </w:rPr>
        <w:t>How “Train AI” Helps Compress Multi-Week or Multi-Month Courses into Immersive, Hands-On Experiences</w:t>
      </w:r>
      <w:r w:rsidRPr="003969FC">
        <w:br/>
        <w:t xml:space="preserve">Enter </w:t>
      </w:r>
      <w:r w:rsidRPr="003969FC">
        <w:rPr>
          <w:rStyle w:val="Strong"/>
          <w:rFonts w:eastAsiaTheme="majorEastAsia"/>
        </w:rPr>
        <w:t>Train AI</w:t>
      </w:r>
      <w:r w:rsidRPr="003969FC">
        <w:t xml:space="preserve">: a specialized tool that merges immersive simulation with adaptive feedback. Users can “practice” in a safe digital environment that mimics real-world tasks—building a piece of furniture, analyzing a dataset, or rehearsing a musical performance. Errors become opportunities for direct, real-time insights. Because Train AI can quickly evaluate performance </w:t>
      </w:r>
      <w:r w:rsidRPr="003969FC">
        <w:lastRenderedPageBreak/>
        <w:t>and highlight common mistakes, a process that used to take months can often be compressed into weeks.</w:t>
      </w:r>
    </w:p>
    <w:p w14:paraId="7998AA79" w14:textId="77777777" w:rsidR="00FA1267" w:rsidRPr="003969FC" w:rsidRDefault="00FA1267" w:rsidP="00FA1267">
      <w:pPr>
        <w:pStyle w:val="NormalWeb"/>
      </w:pPr>
      <w:r w:rsidRPr="003969FC">
        <w:t>These modules don’t just accelerate learning; they deepen it. They encourage “learning by doing,” augmenting memory retention and self-confidence. Whether you choose to do a module full-time or in flexible segments, this structured deep dive ensures your newly acquired skill won’t fade but rather flourish, integrating seamlessly into your day-to-day routines.</w:t>
      </w:r>
    </w:p>
    <w:p w14:paraId="70D0CFA0" w14:textId="77777777" w:rsidR="00FA1267" w:rsidRPr="003969FC" w:rsidRDefault="0034147F" w:rsidP="00FA1267">
      <w:r>
        <w:rPr>
          <w:noProof/>
        </w:rPr>
        <w:pict w14:anchorId="526B75F2">
          <v:rect id="_x0000_i1044" alt="" style="width:468pt;height:.05pt;mso-width-percent:0;mso-height-percent:0;mso-width-percent:0;mso-height-percent:0" o:hralign="center" o:hrstd="t" o:hr="t" fillcolor="#a0a0a0" stroked="f"/>
        </w:pict>
      </w:r>
    </w:p>
    <w:p w14:paraId="15BA2E14" w14:textId="77777777" w:rsidR="00FA1267" w:rsidRPr="003969FC" w:rsidRDefault="00FA1267" w:rsidP="00FA1267">
      <w:pPr>
        <w:pStyle w:val="Heading4"/>
      </w:pPr>
      <w:r w:rsidRPr="003969FC">
        <w:t>2.3 Certification on the Go</w:t>
      </w:r>
    </w:p>
    <w:p w14:paraId="22867FF9" w14:textId="77777777" w:rsidR="00FA1267" w:rsidRPr="003969FC" w:rsidRDefault="00FA1267" w:rsidP="00FA1267">
      <w:pPr>
        <w:pStyle w:val="NormalWeb"/>
      </w:pPr>
      <w:r w:rsidRPr="003969FC">
        <w:rPr>
          <w:rStyle w:val="Strong"/>
          <w:rFonts w:eastAsiaTheme="majorEastAsia"/>
        </w:rPr>
        <w:t>Assessment Frameworks Integrated into Daily Life: Verifying Skills in Real Time</w:t>
      </w:r>
      <w:r w:rsidRPr="003969FC">
        <w:br/>
        <w:t>Traditional assessments typically arrive after structured courses, leaving gaps between learning, practice, and final tests. In contrast, “</w:t>
      </w:r>
      <w:r w:rsidRPr="003969FC">
        <w:rPr>
          <w:rStyle w:val="Strong"/>
          <w:rFonts w:eastAsiaTheme="majorEastAsia"/>
        </w:rPr>
        <w:t>Cert on the Go</w:t>
      </w:r>
      <w:r w:rsidRPr="003969FC">
        <w:t xml:space="preserve">” merges assessment with actual usage moments. If you’re performing a simulated operation in VR or accomplishing a real-world coding task, the system quietly tracks your proficiency. At the moment you demonstrate mastery, it grants an </w:t>
      </w:r>
      <w:r w:rsidRPr="003969FC">
        <w:rPr>
          <w:rStyle w:val="Strong"/>
          <w:rFonts w:eastAsiaTheme="majorEastAsia"/>
        </w:rPr>
        <w:t>on-the-spot credential</w:t>
      </w:r>
      <w:r w:rsidRPr="003969FC">
        <w:t>—officially verifying that you have the skill, not just the theory.</w:t>
      </w:r>
    </w:p>
    <w:p w14:paraId="1CE82A9B" w14:textId="77777777" w:rsidR="00FA1267" w:rsidRPr="003969FC" w:rsidRDefault="00FA1267" w:rsidP="00FA1267">
      <w:pPr>
        <w:pStyle w:val="NormalWeb"/>
      </w:pPr>
      <w:r w:rsidRPr="003969FC">
        <w:rPr>
          <w:rStyle w:val="Strong"/>
          <w:rFonts w:eastAsiaTheme="majorEastAsia"/>
        </w:rPr>
        <w:t>Micro-Credentials Recognized Across Corporate and Institutional Networks</w:t>
      </w:r>
      <w:r w:rsidRPr="003969FC">
        <w:br/>
        <w:t>Unlike traditional degrees—often broad and time-consuming—these micro-credentials target specific expertise: “Advanced 3D Printing Setup,” “Business Data Analysis—Level 2,” “Community Health Coaching Basics,” and more. Employers appreciate the precision; they see exactly what skill you bring to the table. Plus, stacking these micro-credentials offers a fluid way to shape your professional path. The net effect: you continually refine your abilities, and your achievements are recognized immediately, empowering you to pivot faster toward emerging opportunities.</w:t>
      </w:r>
    </w:p>
    <w:p w14:paraId="11B74A2A" w14:textId="77777777" w:rsidR="00FA1267" w:rsidRPr="003969FC" w:rsidRDefault="00FA1267" w:rsidP="00FA1267">
      <w:pPr>
        <w:pStyle w:val="NormalWeb"/>
      </w:pPr>
      <w:r w:rsidRPr="003969FC">
        <w:t xml:space="preserve">By weaving knowledge injection, deep study modules, and real-time certifications into a cohesive journey, we dismantle the rigid boundaries that once confined learning. Instead, </w:t>
      </w:r>
      <w:r w:rsidRPr="003969FC">
        <w:rPr>
          <w:rStyle w:val="Strong"/>
          <w:rFonts w:eastAsiaTheme="majorEastAsia"/>
        </w:rPr>
        <w:t>Learn–Train–Perform</w:t>
      </w:r>
      <w:r w:rsidRPr="003969FC">
        <w:t xml:space="preserve"> becomes a tangible everyday rhythm—underpinned by dynamic technologies and enriched by the possibility that any skill you crave can be captured and certified, all while living your normal life.</w:t>
      </w:r>
    </w:p>
    <w:p w14:paraId="3FA4D62B" w14:textId="77777777" w:rsidR="00FA1267" w:rsidRPr="003969FC" w:rsidRDefault="0034147F" w:rsidP="00FA1267">
      <w:r>
        <w:rPr>
          <w:noProof/>
        </w:rPr>
        <w:pict w14:anchorId="20D7D834">
          <v:rect id="_x0000_i1043" alt="" style="width:468pt;height:.05pt;mso-width-percent:0;mso-height-percent:0;mso-width-percent:0;mso-height-percent:0" o:hralign="center" o:hrstd="t" o:hr="t" fillcolor="#a0a0a0" stroked="f"/>
        </w:pict>
      </w:r>
    </w:p>
    <w:p w14:paraId="31B91034" w14:textId="77777777" w:rsidR="00FA1267" w:rsidRPr="003969FC" w:rsidRDefault="00FA1267" w:rsidP="00FA1267">
      <w:pPr>
        <w:pStyle w:val="Heading3"/>
      </w:pPr>
      <w:bookmarkStart w:id="10" w:name="_Toc186353809"/>
      <w:bookmarkStart w:id="11" w:name="_Toc186356448"/>
      <w:r w:rsidRPr="003969FC">
        <w:t>Chapter 3 – Mentor XR: The Human-Focused Ally</w:t>
      </w:r>
      <w:bookmarkEnd w:id="10"/>
      <w:bookmarkEnd w:id="11"/>
    </w:p>
    <w:p w14:paraId="23AF79E7" w14:textId="77777777" w:rsidR="00FA1267" w:rsidRPr="003969FC" w:rsidRDefault="00FA1267" w:rsidP="00FA1267">
      <w:pPr>
        <w:pStyle w:val="Heading4"/>
      </w:pPr>
      <w:r w:rsidRPr="003969FC">
        <w:t>3.1 Mentor XR as a Companion</w:t>
      </w:r>
    </w:p>
    <w:p w14:paraId="1DE452AF" w14:textId="77777777" w:rsidR="00FA1267" w:rsidRPr="003969FC" w:rsidRDefault="00FA1267" w:rsidP="00FA1267">
      <w:pPr>
        <w:pStyle w:val="NormalWeb"/>
      </w:pPr>
      <w:r w:rsidRPr="003969FC">
        <w:rPr>
          <w:rStyle w:val="Strong"/>
          <w:rFonts w:eastAsiaTheme="majorEastAsia"/>
        </w:rPr>
        <w:t>Photorealistic, Evolving AI Avatars That Personalize Learning Paths</w:t>
      </w:r>
      <w:r w:rsidRPr="003969FC">
        <w:br/>
        <w:t xml:space="preserve">Mentor XR is not your average chatbot. It’s a </w:t>
      </w:r>
      <w:r w:rsidRPr="003969FC">
        <w:rPr>
          <w:rStyle w:val="Strong"/>
          <w:rFonts w:eastAsiaTheme="majorEastAsia"/>
        </w:rPr>
        <w:t>photorealistic AI avatar</w:t>
      </w:r>
      <w:r w:rsidRPr="003969FC">
        <w:t xml:space="preserve"> that can appear in augmented reality or on the screen, shaped by your evolving preferences. Over time, it learns your schedule, humor, and stress levels, making it an ever-adapting companion rather than a static software tool. You might see it as an approachable “virtual coach” capable of friendly conversation, real-time skill guidance, or even subtle motivational nudges.</w:t>
      </w:r>
    </w:p>
    <w:p w14:paraId="5B44CD27" w14:textId="77777777" w:rsidR="00FA1267" w:rsidRPr="003969FC" w:rsidRDefault="00FA1267" w:rsidP="00FA1267">
      <w:pPr>
        <w:pStyle w:val="NormalWeb"/>
      </w:pPr>
      <w:r w:rsidRPr="003969FC">
        <w:rPr>
          <w:rStyle w:val="Strong"/>
          <w:rFonts w:eastAsiaTheme="majorEastAsia"/>
        </w:rPr>
        <w:lastRenderedPageBreak/>
        <w:t>Emotional Intelligence Overlays: Adapting Pace and Style to the User’s Mental State</w:t>
      </w:r>
      <w:r w:rsidRPr="003969FC">
        <w:br/>
        <w:t>Its true magic emerges when Mentor XR detects changes in your emotional cues—based on voice inflection, face tracking (with consent), or your recent activity logs. If you’re showing signs of frustration, it might slow down instructions or shift to more visuals. If you’re breezing through tasks, it raises the bar for your next challenge. This empathy-based approach ensures you always operate in the “sweet spot” of learning—challenged but not overwhelmed, supported but never patronized.</w:t>
      </w:r>
    </w:p>
    <w:p w14:paraId="797F393D" w14:textId="77777777" w:rsidR="00FA1267" w:rsidRPr="003969FC" w:rsidRDefault="0034147F" w:rsidP="00FA1267">
      <w:r>
        <w:rPr>
          <w:noProof/>
        </w:rPr>
        <w:pict w14:anchorId="4CBA9192">
          <v:rect id="_x0000_i1042" alt="" style="width:468pt;height:.05pt;mso-width-percent:0;mso-height-percent:0;mso-width-percent:0;mso-height-percent:0" o:hralign="center" o:hrstd="t" o:hr="t" fillcolor="#a0a0a0" stroked="f"/>
        </w:pict>
      </w:r>
    </w:p>
    <w:p w14:paraId="20C3E4D4" w14:textId="77777777" w:rsidR="00FA1267" w:rsidRPr="003969FC" w:rsidRDefault="00FA1267" w:rsidP="00FA1267">
      <w:pPr>
        <w:pStyle w:val="Heading4"/>
      </w:pPr>
      <w:r w:rsidRPr="003969FC">
        <w:t>3.2 Protective, Empowering, Insightful</w:t>
      </w:r>
    </w:p>
    <w:p w14:paraId="162E62AC" w14:textId="77777777" w:rsidR="00FA1267" w:rsidRPr="003969FC" w:rsidRDefault="00FA1267" w:rsidP="00FA1267">
      <w:pPr>
        <w:pStyle w:val="NormalWeb"/>
      </w:pPr>
      <w:r w:rsidRPr="003969FC">
        <w:rPr>
          <w:rStyle w:val="Strong"/>
          <w:rFonts w:eastAsiaTheme="majorEastAsia"/>
        </w:rPr>
        <w:t>Serving as Personal Coach for Mental Health Resilience, Career Guidance, Creative Exploration</w:t>
      </w:r>
      <w:r w:rsidRPr="003969FC">
        <w:br/>
        <w:t>While Mentor XR can certainly teach coding or marketing, it also doubles as a proactive check on your well-being. Suppose you have a high-stress job and your vital or emotional signals reflect potential burnout—Mentor XR might propose short mental break modules, micro-burst meditations, or a recalibration of your next learning schedule. If you’re exploring new career avenues, the mentor can analyze your strongest aptitudes and local market demands, offering curated pathways.</w:t>
      </w:r>
    </w:p>
    <w:p w14:paraId="0C8C292B" w14:textId="77777777" w:rsidR="00FA1267" w:rsidRPr="003969FC" w:rsidRDefault="00FA1267" w:rsidP="00FA1267">
      <w:pPr>
        <w:pStyle w:val="NormalWeb"/>
      </w:pPr>
      <w:r w:rsidRPr="003969FC">
        <w:rPr>
          <w:rStyle w:val="Strong"/>
          <w:rFonts w:eastAsiaTheme="majorEastAsia"/>
        </w:rPr>
        <w:t>Merging Personal Data (Preferences, Aptitudes) with Real-Time Skill Demands</w:t>
      </w:r>
      <w:r w:rsidRPr="003969FC">
        <w:br/>
        <w:t>Beyond emotional cues, Mentor XR cross-references your personal interests, aptitudes (e.g., creative flair, affinity for analytics), and local or global skill gaps. Instantly, it forms a blueprint for your next “upskilling quest”—introducing relevant tasks in your micro-burst lessons. Whether discovering a hidden talent for design or an emerging career niche in biotech, Mentor XR’s synergy of personal and market data ensures no day feels stale or aimless.</w:t>
      </w:r>
    </w:p>
    <w:p w14:paraId="78141170" w14:textId="77777777" w:rsidR="00FA1267" w:rsidRPr="003969FC" w:rsidRDefault="0034147F" w:rsidP="00FA1267">
      <w:r>
        <w:rPr>
          <w:noProof/>
        </w:rPr>
        <w:pict w14:anchorId="4C550D5A">
          <v:rect id="_x0000_i1041" alt="" style="width:468pt;height:.05pt;mso-width-percent:0;mso-height-percent:0;mso-width-percent:0;mso-height-percent:0" o:hralign="center" o:hrstd="t" o:hr="t" fillcolor="#a0a0a0" stroked="f"/>
        </w:pict>
      </w:r>
    </w:p>
    <w:p w14:paraId="34EDE615" w14:textId="77777777" w:rsidR="00FA1267" w:rsidRPr="003969FC" w:rsidRDefault="00FA1267" w:rsidP="00FA1267">
      <w:pPr>
        <w:pStyle w:val="Heading4"/>
      </w:pPr>
      <w:r w:rsidRPr="003969FC">
        <w:t>3.3 Short-Term Impact on Future Jobs</w:t>
      </w:r>
    </w:p>
    <w:p w14:paraId="25A078CA" w14:textId="77777777" w:rsidR="00FA1267" w:rsidRPr="003969FC" w:rsidRDefault="00FA1267" w:rsidP="00FA1267">
      <w:pPr>
        <w:pStyle w:val="NormalWeb"/>
      </w:pPr>
      <w:r w:rsidRPr="003969FC">
        <w:rPr>
          <w:rStyle w:val="Strong"/>
          <w:rFonts w:eastAsiaTheme="majorEastAsia"/>
        </w:rPr>
        <w:t>The Role of Mentor XR in Bridging Skill Gaps for Immediate Employability</w:t>
      </w:r>
      <w:r w:rsidRPr="003969FC">
        <w:br/>
        <w:t xml:space="preserve">In an economy churning out new roles at breakneck speed, employees who can </w:t>
      </w:r>
      <w:r w:rsidRPr="003969FC">
        <w:rPr>
          <w:rStyle w:val="Strong"/>
          <w:rFonts w:eastAsiaTheme="majorEastAsia"/>
        </w:rPr>
        <w:t>rapidly adapt</w:t>
      </w:r>
      <w:r w:rsidRPr="003969FC">
        <w:t xml:space="preserve"> hold the advantage. Mentor XR offers not just theoretical courses but actionable to-do items: “Complete a 20-minute simulation on drone logistics,” or “Run an AR-assisted prototype in advanced spreadsheet modeling.” On successful completion, micro-certifications are granted—verifying readiness to pivot into a new job function or pitch for a promotion.</w:t>
      </w:r>
    </w:p>
    <w:p w14:paraId="1846A9F6" w14:textId="77777777" w:rsidR="00FA1267" w:rsidRPr="003969FC" w:rsidRDefault="00FA1267" w:rsidP="00FA1267">
      <w:pPr>
        <w:pStyle w:val="NormalWeb"/>
      </w:pPr>
      <w:r w:rsidRPr="003969FC">
        <w:rPr>
          <w:rStyle w:val="Strong"/>
          <w:rFonts w:eastAsiaTheme="majorEastAsia"/>
        </w:rPr>
        <w:t>Practical Steps for Industries Adopting Mentor XR for Re-Skilling and Upskilling</w:t>
      </w:r>
    </w:p>
    <w:p w14:paraId="69F30E44" w14:textId="77777777" w:rsidR="00FA1267" w:rsidRPr="003969FC" w:rsidRDefault="00FA1267" w:rsidP="00FA1267">
      <w:pPr>
        <w:numPr>
          <w:ilvl w:val="0"/>
          <w:numId w:val="200"/>
        </w:numPr>
        <w:spacing w:before="100" w:beforeAutospacing="1" w:after="100" w:afterAutospacing="1"/>
      </w:pPr>
      <w:r w:rsidRPr="003969FC">
        <w:rPr>
          <w:rStyle w:val="Strong"/>
        </w:rPr>
        <w:t>Integrate with Existing Corporate Training</w:t>
      </w:r>
      <w:r w:rsidRPr="003969FC">
        <w:t>: Migrate old PDF manuals and lengthy modules into short, AR-driven tasks, co-facilitated by the AI mentor.</w:t>
      </w:r>
    </w:p>
    <w:p w14:paraId="2C7746FB" w14:textId="77777777" w:rsidR="00FA1267" w:rsidRPr="003969FC" w:rsidRDefault="00FA1267" w:rsidP="00FA1267">
      <w:pPr>
        <w:numPr>
          <w:ilvl w:val="0"/>
          <w:numId w:val="200"/>
        </w:numPr>
        <w:spacing w:before="100" w:beforeAutospacing="1" w:after="100" w:afterAutospacing="1"/>
      </w:pPr>
      <w:r w:rsidRPr="003969FC">
        <w:rPr>
          <w:rStyle w:val="Strong"/>
        </w:rPr>
        <w:t>Scale Micro-Credentials</w:t>
      </w:r>
      <w:r w:rsidRPr="003969FC">
        <w:t>: Partner with professional associations so that each new skill or task passes recognized industry standards.</w:t>
      </w:r>
    </w:p>
    <w:p w14:paraId="76EAE3D2" w14:textId="77777777" w:rsidR="00FA1267" w:rsidRPr="003969FC" w:rsidRDefault="00FA1267" w:rsidP="00FA1267">
      <w:pPr>
        <w:numPr>
          <w:ilvl w:val="0"/>
          <w:numId w:val="200"/>
        </w:numPr>
        <w:spacing w:before="100" w:beforeAutospacing="1" w:after="100" w:afterAutospacing="1"/>
      </w:pPr>
      <w:r w:rsidRPr="003969FC">
        <w:rPr>
          <w:rStyle w:val="Strong"/>
        </w:rPr>
        <w:lastRenderedPageBreak/>
        <w:t>Encourage Collaborative Learning</w:t>
      </w:r>
      <w:r w:rsidRPr="003969FC">
        <w:t>: Employees form “Mentor Pods,” exchanging breakthroughs and tips gleaned from daily practice—boosting both team morale and knowledge spread.</w:t>
      </w:r>
    </w:p>
    <w:p w14:paraId="2C32EAEC" w14:textId="77777777" w:rsidR="00FA1267" w:rsidRDefault="00FA1267" w:rsidP="00FA1267">
      <w:pPr>
        <w:pStyle w:val="NormalWeb"/>
      </w:pPr>
      <w:r w:rsidRPr="003969FC">
        <w:t xml:space="preserve">By situating Mentor XR at the heart of immediate and empathetic learning, we bridge the gap between individual potential and organizational needs. This blend of protective guidance, emotional intelligence, and real-time skill matching ensures that no learner journeys alone or aimlessly. Instead, each user’s personal story merges seamlessly with the wider flow of technological evolution and professional growth—embodying the movement’s aspiration that </w:t>
      </w:r>
      <w:r w:rsidRPr="003969FC">
        <w:rPr>
          <w:rStyle w:val="Strong"/>
          <w:rFonts w:eastAsiaTheme="majorEastAsia"/>
        </w:rPr>
        <w:t>technology should empower, not eclipse, the human quest for purposeful living</w:t>
      </w:r>
      <w:r w:rsidRPr="003969FC">
        <w:t>.</w:t>
      </w:r>
    </w:p>
    <w:p w14:paraId="63EA5B2B" w14:textId="7FC2A7EF" w:rsidR="004004A9" w:rsidRDefault="004004A9">
      <w:pPr>
        <w:rPr>
          <w:rFonts w:ascii="Times New Roman" w:eastAsia="Times New Roman" w:hAnsi="Times New Roman" w:cs="Times New Roman"/>
          <w:kern w:val="0"/>
          <w14:ligatures w14:val="none"/>
        </w:rPr>
      </w:pPr>
      <w:r>
        <w:br w:type="page"/>
      </w:r>
    </w:p>
    <w:p w14:paraId="69B16B18" w14:textId="77777777" w:rsidR="004004A9" w:rsidRPr="003969FC" w:rsidRDefault="004004A9" w:rsidP="00FA1267">
      <w:pPr>
        <w:pStyle w:val="NormalWeb"/>
      </w:pPr>
    </w:p>
    <w:p w14:paraId="63594C6B" w14:textId="77777777" w:rsidR="00FA1267" w:rsidRPr="003969FC" w:rsidRDefault="00FA1267" w:rsidP="00FA1267">
      <w:pPr>
        <w:pStyle w:val="Heading2"/>
      </w:pPr>
      <w:bookmarkStart w:id="12" w:name="_Toc186353810"/>
      <w:bookmarkStart w:id="13" w:name="_Toc186356449"/>
      <w:r w:rsidRPr="003969FC">
        <w:t>Part III: Building Institutions &amp; Communities</w:t>
      </w:r>
      <w:bookmarkEnd w:id="12"/>
      <w:bookmarkEnd w:id="13"/>
    </w:p>
    <w:p w14:paraId="73D58C45" w14:textId="77777777" w:rsidR="00FA1267" w:rsidRPr="003969FC" w:rsidRDefault="0034147F" w:rsidP="00FA1267">
      <w:r>
        <w:rPr>
          <w:noProof/>
        </w:rPr>
        <w:pict w14:anchorId="4BFBA83B">
          <v:rect id="_x0000_i1040" alt="" style="width:468pt;height:.05pt;mso-width-percent:0;mso-height-percent:0;mso-width-percent:0;mso-height-percent:0" o:hralign="center" o:hrstd="t" o:hr="t" fillcolor="#a0a0a0" stroked="f"/>
        </w:pict>
      </w:r>
    </w:p>
    <w:p w14:paraId="62732661" w14:textId="77777777" w:rsidR="00FA1267" w:rsidRPr="003969FC" w:rsidRDefault="00FA1267" w:rsidP="00FA1267">
      <w:pPr>
        <w:pStyle w:val="Heading3"/>
      </w:pPr>
      <w:bookmarkStart w:id="14" w:name="_Toc186353811"/>
      <w:bookmarkStart w:id="15" w:name="_Toc186356450"/>
      <w:r w:rsidRPr="003969FC">
        <w:t>Chapter 4 – Institutional Evolution &amp; Local Hubs</w:t>
      </w:r>
      <w:bookmarkEnd w:id="14"/>
      <w:bookmarkEnd w:id="15"/>
    </w:p>
    <w:p w14:paraId="7694460E" w14:textId="77777777" w:rsidR="00FA1267" w:rsidRPr="003969FC" w:rsidRDefault="0034147F" w:rsidP="00FA1267">
      <w:r>
        <w:rPr>
          <w:noProof/>
        </w:rPr>
        <w:pict w14:anchorId="75594A0C">
          <v:rect id="_x0000_i1039" alt="" style="width:468pt;height:.05pt;mso-width-percent:0;mso-height-percent:0;mso-width-percent:0;mso-height-percent:0" o:hralign="center" o:hrstd="t" o:hr="t" fillcolor="#a0a0a0" stroked="f"/>
        </w:pict>
      </w:r>
    </w:p>
    <w:p w14:paraId="315079BA" w14:textId="77777777" w:rsidR="00FA1267" w:rsidRPr="003969FC" w:rsidRDefault="00FA1267" w:rsidP="00FA1267">
      <w:pPr>
        <w:pStyle w:val="Heading4"/>
      </w:pPr>
      <w:r w:rsidRPr="003969FC">
        <w:t>4.1 “XR Universities” &amp; Flexible Certifications</w:t>
      </w:r>
    </w:p>
    <w:p w14:paraId="775AAAF6" w14:textId="77777777" w:rsidR="00FA1267" w:rsidRPr="003969FC" w:rsidRDefault="00FA1267" w:rsidP="00FA1267">
      <w:pPr>
        <w:pStyle w:val="NormalWeb"/>
      </w:pPr>
      <w:r w:rsidRPr="003969FC">
        <w:rPr>
          <w:rStyle w:val="Strong"/>
          <w:rFonts w:eastAsiaTheme="majorEastAsia"/>
        </w:rPr>
        <w:t>Reimagining Universities as Agile, Immersive Knowledge Platforms</w:t>
      </w:r>
      <w:r w:rsidRPr="003969FC">
        <w:br/>
        <w:t xml:space="preserve">The traditional campus model—fixed schedules, multi-year degrees, and lecture-based instruction—has struggled to keep pace with today’s exponential shifts in technology and workforce demands. </w:t>
      </w:r>
      <w:r w:rsidRPr="003969FC">
        <w:rPr>
          <w:rStyle w:val="Strong"/>
          <w:rFonts w:eastAsiaTheme="majorEastAsia"/>
        </w:rPr>
        <w:t>“XR Universities”</w:t>
      </w:r>
      <w:r w:rsidRPr="003969FC">
        <w:t xml:space="preserve"> answer this challenge by blending physical campuses with extended reality (XR) experiences. Instead of forcing learners to uproot their lives, these agile institutions deliver advanced modules through immersive simulations, AI-driven mentors, and micro-burst course formats.</w:t>
      </w:r>
    </w:p>
    <w:p w14:paraId="6C5D89C3" w14:textId="77777777" w:rsidR="00FA1267" w:rsidRPr="003969FC" w:rsidRDefault="00FA1267" w:rsidP="00FA1267">
      <w:pPr>
        <w:pStyle w:val="NormalWeb"/>
        <w:numPr>
          <w:ilvl w:val="0"/>
          <w:numId w:val="201"/>
        </w:numPr>
      </w:pPr>
      <w:r w:rsidRPr="003969FC">
        <w:rPr>
          <w:rStyle w:val="Strong"/>
          <w:rFonts w:eastAsiaTheme="majorEastAsia"/>
        </w:rPr>
        <w:t>Digital Classrooms, Real Impact</w:t>
      </w:r>
      <w:r w:rsidRPr="003969FC">
        <w:br/>
        <w:t>Virtual labs allow students to experience real-world scenarios—like designing rocket engines or practicing medical procedures—without leaving their community hub. Relying on augmented or virtual reality, they can instantly switch from collaborative design sessions to independent, skill-focused modules.</w:t>
      </w:r>
    </w:p>
    <w:p w14:paraId="5B7AFB58" w14:textId="77777777" w:rsidR="00FA1267" w:rsidRPr="003969FC" w:rsidRDefault="00FA1267" w:rsidP="00FA1267">
      <w:pPr>
        <w:pStyle w:val="NormalWeb"/>
        <w:numPr>
          <w:ilvl w:val="0"/>
          <w:numId w:val="201"/>
        </w:numPr>
      </w:pPr>
      <w:r w:rsidRPr="003969FC">
        <w:rPr>
          <w:rStyle w:val="Strong"/>
          <w:rFonts w:eastAsiaTheme="majorEastAsia"/>
        </w:rPr>
        <w:t>Beyond Degrees: Continuous Credentialing</w:t>
      </w:r>
      <w:r w:rsidRPr="003969FC">
        <w:br/>
        <w:t xml:space="preserve">In XR Universities, the notion of a single, monolithic diploma is replaced by </w:t>
      </w:r>
      <w:r w:rsidRPr="003969FC">
        <w:rPr>
          <w:rStyle w:val="Strong"/>
          <w:rFonts w:eastAsiaTheme="majorEastAsia"/>
        </w:rPr>
        <w:t>continuous certification</w:t>
      </w:r>
      <w:r w:rsidRPr="003969FC">
        <w:t>. Learners regularly demonstrate mastery of new concepts or skills, receiving micro-credentials that reflect tangible competencies. This structure ensures that graduation is no longer a one-time finish line, but a milestone along a lifelong trajectory of Learn–Train–Perform.</w:t>
      </w:r>
    </w:p>
    <w:p w14:paraId="18094267" w14:textId="77777777" w:rsidR="00FA1267" w:rsidRPr="003969FC" w:rsidRDefault="00FA1267" w:rsidP="00FA1267">
      <w:pPr>
        <w:pStyle w:val="NormalWeb"/>
      </w:pPr>
      <w:r w:rsidRPr="003969FC">
        <w:rPr>
          <w:rStyle w:val="Strong"/>
          <w:rFonts w:eastAsiaTheme="majorEastAsia"/>
        </w:rPr>
        <w:t>Partnerships with Corporations for Job-Based Certificates and Ongoing Learning</w:t>
      </w:r>
      <w:r w:rsidRPr="003969FC">
        <w:br/>
        <w:t>Key to these XR Universities is cultivating deep alliances with industries. Corporations articulate skill needs, feed real-time demands into the XR curriculum, and partner in module creation. Learners receive direct pathways to in-demand roles—like AI ethics auditor, XR content designer, or climate-tech problem solver—while companies gain a fresh stream of fully up-to-speed talent.</w:t>
      </w:r>
    </w:p>
    <w:p w14:paraId="36451E51" w14:textId="77777777" w:rsidR="00FA1267" w:rsidRPr="003969FC" w:rsidRDefault="00FA1267" w:rsidP="00FA1267">
      <w:pPr>
        <w:pStyle w:val="NormalWeb"/>
        <w:numPr>
          <w:ilvl w:val="0"/>
          <w:numId w:val="202"/>
        </w:numPr>
      </w:pPr>
      <w:r w:rsidRPr="003969FC">
        <w:rPr>
          <w:rStyle w:val="Strong"/>
          <w:rFonts w:eastAsiaTheme="majorEastAsia"/>
        </w:rPr>
        <w:t>Work-Study Integration</w:t>
      </w:r>
      <w:r w:rsidRPr="003969FC">
        <w:br/>
        <w:t>By folding real company projects or fieldwork into coursework, XR Universities let students solve practical challenges from day one, bridging theory and practice seamlessly.</w:t>
      </w:r>
    </w:p>
    <w:p w14:paraId="14A8EC69" w14:textId="77777777" w:rsidR="00FA1267" w:rsidRPr="003969FC" w:rsidRDefault="00FA1267" w:rsidP="00FA1267">
      <w:pPr>
        <w:pStyle w:val="NormalWeb"/>
        <w:numPr>
          <w:ilvl w:val="0"/>
          <w:numId w:val="202"/>
        </w:numPr>
      </w:pPr>
      <w:r w:rsidRPr="003969FC">
        <w:rPr>
          <w:rStyle w:val="Strong"/>
          <w:rFonts w:eastAsiaTheme="majorEastAsia"/>
        </w:rPr>
        <w:t>Tailored Corporate Programs</w:t>
      </w:r>
      <w:r w:rsidRPr="003969FC">
        <w:br/>
        <w:t>Corporate employees can attend remote classes after work or in micro-bursts during breaks, continuously amassing relevant micro-credentials. This synergy shrinks the gap between institutional knowledge and real-world execution.</w:t>
      </w:r>
    </w:p>
    <w:p w14:paraId="2F822999" w14:textId="77777777" w:rsidR="00FA1267" w:rsidRPr="003969FC" w:rsidRDefault="0034147F" w:rsidP="00FA1267">
      <w:r>
        <w:rPr>
          <w:noProof/>
        </w:rPr>
        <w:lastRenderedPageBreak/>
        <w:pict w14:anchorId="662020B7">
          <v:rect id="_x0000_i1038" alt="" style="width:468pt;height:.05pt;mso-width-percent:0;mso-height-percent:0;mso-width-percent:0;mso-height-percent:0" o:hralign="center" o:hrstd="t" o:hr="t" fillcolor="#a0a0a0" stroked="f"/>
        </w:pict>
      </w:r>
    </w:p>
    <w:p w14:paraId="2F82A7ED" w14:textId="77777777" w:rsidR="00FA1267" w:rsidRPr="003969FC" w:rsidRDefault="00FA1267" w:rsidP="00FA1267">
      <w:pPr>
        <w:pStyle w:val="Heading4"/>
      </w:pPr>
      <w:r w:rsidRPr="003969FC">
        <w:t>4.2 Neighborhood Learning Incubators</w:t>
      </w:r>
    </w:p>
    <w:p w14:paraId="427104AA" w14:textId="77777777" w:rsidR="00FA1267" w:rsidRPr="003969FC" w:rsidRDefault="00FA1267" w:rsidP="00FA1267">
      <w:pPr>
        <w:pStyle w:val="NormalWeb"/>
      </w:pPr>
      <w:r w:rsidRPr="003969FC">
        <w:rPr>
          <w:rStyle w:val="Strong"/>
          <w:rFonts w:eastAsiaTheme="majorEastAsia"/>
        </w:rPr>
        <w:t>Turning Community Centers, Libraries, or Co-Working Spaces into Micro-Lab Zones for Daily Skill Injections</w:t>
      </w:r>
      <w:r w:rsidRPr="003969FC">
        <w:br/>
        <w:t xml:space="preserve">While XR Universities offer broad transformations, </w:t>
      </w:r>
      <w:r w:rsidRPr="003969FC">
        <w:rPr>
          <w:rStyle w:val="Strong"/>
          <w:rFonts w:eastAsiaTheme="majorEastAsia"/>
        </w:rPr>
        <w:t>Neighborhood Learning Incubators</w:t>
      </w:r>
      <w:r w:rsidRPr="003969FC">
        <w:t xml:space="preserve"> provide a more grassroots, localized approach—especially vital for regions without a major university presence. Here, AI terminals and augmented-reality equipment transform local spaces (like libraries, youth centers, or coworking spots) into daily learning hotspots.</w:t>
      </w:r>
    </w:p>
    <w:p w14:paraId="04CCD83C" w14:textId="77777777" w:rsidR="00FA1267" w:rsidRPr="003969FC" w:rsidRDefault="00FA1267" w:rsidP="00FA1267">
      <w:pPr>
        <w:pStyle w:val="NormalWeb"/>
        <w:numPr>
          <w:ilvl w:val="0"/>
          <w:numId w:val="203"/>
        </w:numPr>
      </w:pPr>
      <w:r w:rsidRPr="003969FC">
        <w:rPr>
          <w:rStyle w:val="Strong"/>
          <w:rFonts w:eastAsiaTheme="majorEastAsia"/>
        </w:rPr>
        <w:t>Open-Door Policy</w:t>
      </w:r>
      <w:r w:rsidRPr="003969FC">
        <w:br/>
        <w:t>Anyone—young or old, employed or searching—can drop in for short knowledge injection sessions: learning new coding snippets, exploring health tips, or practicing creative arts. Mentor XR might greet them, offering a “skill-of-the-day” or responding to immediate queries.</w:t>
      </w:r>
    </w:p>
    <w:p w14:paraId="41902D8B" w14:textId="77777777" w:rsidR="00FA1267" w:rsidRPr="003969FC" w:rsidRDefault="00FA1267" w:rsidP="00FA1267">
      <w:pPr>
        <w:pStyle w:val="NormalWeb"/>
        <w:numPr>
          <w:ilvl w:val="0"/>
          <w:numId w:val="203"/>
        </w:numPr>
      </w:pPr>
      <w:r w:rsidRPr="003969FC">
        <w:rPr>
          <w:rStyle w:val="Strong"/>
          <w:rFonts w:eastAsiaTheme="majorEastAsia"/>
        </w:rPr>
        <w:t>Community-Building Through Skills</w:t>
      </w:r>
      <w:r w:rsidRPr="003969FC">
        <w:br/>
        <w:t>Incubators run micro-credentials on a rolling basis—be it “Basic Drone Maintenance” or “AR Gardening 101”—allowing neighbors to form small cohorts. This fosters not just skill acquisition, but also local camaraderie, bridging generational and cultural gaps.</w:t>
      </w:r>
    </w:p>
    <w:p w14:paraId="53300CBB" w14:textId="77777777" w:rsidR="00FA1267" w:rsidRPr="003969FC" w:rsidRDefault="00FA1267" w:rsidP="00FA1267">
      <w:pPr>
        <w:pStyle w:val="NormalWeb"/>
      </w:pPr>
      <w:r w:rsidRPr="003969FC">
        <w:rPr>
          <w:rStyle w:val="Strong"/>
          <w:rFonts w:eastAsiaTheme="majorEastAsia"/>
        </w:rPr>
        <w:t>Funding Models: Philanthropic, Government Subsidies, Corporate Sponsorship</w:t>
      </w:r>
      <w:r w:rsidRPr="003969FC">
        <w:br/>
        <w:t>Sustaining these incubators requires a supportive ecosystem. In communities with limited budgets, philanthropic grants or government education subsidies can cover upfront hardware and AI platform licensing. Elsewhere, corporations might sponsor incubators under a “community upskilling” initiative—an appealing model that highlights social responsibility while creating a broader local talent pool.</w:t>
      </w:r>
    </w:p>
    <w:p w14:paraId="7565369A" w14:textId="77777777" w:rsidR="00FA1267" w:rsidRPr="003969FC" w:rsidRDefault="00FA1267" w:rsidP="00FA1267">
      <w:pPr>
        <w:numPr>
          <w:ilvl w:val="0"/>
          <w:numId w:val="204"/>
        </w:numPr>
        <w:spacing w:before="100" w:beforeAutospacing="1" w:after="100" w:afterAutospacing="1"/>
      </w:pPr>
      <w:r w:rsidRPr="003969FC">
        <w:rPr>
          <w:rStyle w:val="Strong"/>
        </w:rPr>
        <w:t>Multi-Stakeholder Collaboration</w:t>
      </w:r>
      <w:r w:rsidRPr="003969FC">
        <w:br/>
        <w:t>Each incubator typically weaves together city councils, library boards, tech donors, and local volunteer mentors. Their shared goal? Guarantee that knowledge is never out of reach, whether it’s a single AR headset or a robust AI mentorship platform.</w:t>
      </w:r>
    </w:p>
    <w:p w14:paraId="46EC9586" w14:textId="77777777" w:rsidR="00FA1267" w:rsidRPr="003969FC" w:rsidRDefault="0034147F" w:rsidP="00FA1267">
      <w:r>
        <w:rPr>
          <w:noProof/>
        </w:rPr>
        <w:pict w14:anchorId="3A3126E0">
          <v:rect id="_x0000_i1037" alt="" style="width:468pt;height:.05pt;mso-width-percent:0;mso-height-percent:0;mso-width-percent:0;mso-height-percent:0" o:hralign="center" o:hrstd="t" o:hr="t" fillcolor="#a0a0a0" stroked="f"/>
        </w:pict>
      </w:r>
    </w:p>
    <w:p w14:paraId="7D311EF3" w14:textId="77777777" w:rsidR="00FA1267" w:rsidRPr="003969FC" w:rsidRDefault="00FA1267" w:rsidP="00FA1267">
      <w:pPr>
        <w:pStyle w:val="Heading4"/>
      </w:pPr>
      <w:r w:rsidRPr="003969FC">
        <w:t>4.3 Ensuring a Secure Future Workforce</w:t>
      </w:r>
    </w:p>
    <w:p w14:paraId="607D5858" w14:textId="77777777" w:rsidR="00FA1267" w:rsidRPr="003969FC" w:rsidRDefault="00FA1267" w:rsidP="00FA1267">
      <w:pPr>
        <w:pStyle w:val="NormalWeb"/>
      </w:pPr>
      <w:r w:rsidRPr="003969FC">
        <w:rPr>
          <w:rStyle w:val="Strong"/>
          <w:rFonts w:eastAsiaTheme="majorEastAsia"/>
        </w:rPr>
        <w:t>Emphasizing Re-skilling Programs for the “White-Collar” Transformations</w:t>
      </w:r>
      <w:r w:rsidRPr="003969FC">
        <w:br/>
        <w:t xml:space="preserve">Automation’s next wave doesn’t exclusively target manufacturing lines—it upends traditional desk jobs, too. Accountants, data analysts, and administrative staff face the redefinition of duties by algorithms or AI bots. </w:t>
      </w:r>
      <w:r w:rsidRPr="003969FC">
        <w:rPr>
          <w:rStyle w:val="Strong"/>
          <w:rFonts w:eastAsiaTheme="majorEastAsia"/>
        </w:rPr>
        <w:t>Comprehensive re-skilling</w:t>
      </w:r>
      <w:r w:rsidRPr="003969FC">
        <w:t xml:space="preserve"> is thus essential for professionals who find their roles evolving rapidly. XR Universities and community incubators collectively close the gap, offering fast certifications in emerging domains—like ethical data oversight, advanced project management, or creative problem-solving.</w:t>
      </w:r>
    </w:p>
    <w:p w14:paraId="43B322C7" w14:textId="77777777" w:rsidR="00FA1267" w:rsidRPr="003969FC" w:rsidRDefault="00FA1267" w:rsidP="00FA1267">
      <w:pPr>
        <w:pStyle w:val="NormalWeb"/>
        <w:numPr>
          <w:ilvl w:val="0"/>
          <w:numId w:val="205"/>
        </w:numPr>
      </w:pPr>
      <w:r w:rsidRPr="003969FC">
        <w:rPr>
          <w:rStyle w:val="Strong"/>
          <w:rFonts w:eastAsiaTheme="majorEastAsia"/>
        </w:rPr>
        <w:t>Targeted White-Collar Upskilling</w:t>
      </w:r>
      <w:r w:rsidRPr="003969FC">
        <w:br/>
        <w:t xml:space="preserve">Micro-learning modules address niche challenges in business intelligence, legal </w:t>
      </w:r>
      <w:r w:rsidRPr="003969FC">
        <w:lastRenderedPageBreak/>
        <w:t>compliance, or user-experience design. This approach swiftly elevates employees or job-seekers to new, value-added skill levels that AI can’t replicate, such as emotional intelligence, leadership, or complex reasoning.</w:t>
      </w:r>
    </w:p>
    <w:p w14:paraId="4A49FAF8" w14:textId="77777777" w:rsidR="00FA1267" w:rsidRPr="003969FC" w:rsidRDefault="00FA1267" w:rsidP="00FA1267">
      <w:pPr>
        <w:pStyle w:val="NormalWeb"/>
        <w:numPr>
          <w:ilvl w:val="0"/>
          <w:numId w:val="205"/>
        </w:numPr>
      </w:pPr>
      <w:r w:rsidRPr="003969FC">
        <w:rPr>
          <w:rStyle w:val="Strong"/>
          <w:rFonts w:eastAsiaTheme="majorEastAsia"/>
        </w:rPr>
        <w:t>Flexible Scheduling &amp; AI Mentors</w:t>
      </w:r>
      <w:r w:rsidRPr="003969FC">
        <w:br/>
        <w:t>White-collar workers often balance re-skilling with ongoing job commitments. By harnessing the asynchronous nature of micro-courses—guided by empathetic AI mentors—employees can train during off-peak hours, weekends, or short bursts, seamlessly weaving knowledge acquisition into busy routines.</w:t>
      </w:r>
    </w:p>
    <w:p w14:paraId="132DCB4C" w14:textId="77777777" w:rsidR="00FA1267" w:rsidRDefault="00FA1267" w:rsidP="00FA1267">
      <w:pPr>
        <w:pStyle w:val="NormalWeb"/>
      </w:pPr>
      <w:r w:rsidRPr="003969FC">
        <w:rPr>
          <w:rStyle w:val="Strong"/>
          <w:rFonts w:eastAsiaTheme="majorEastAsia"/>
        </w:rPr>
        <w:t>Government-Led or NGO-Led Cross-Sector Alliances for Mass Adoption</w:t>
      </w:r>
      <w:r w:rsidRPr="003969FC">
        <w:br/>
        <w:t>For truly inclusive, large-scale impact, local and national governments—often in tandem with NGOs—</w:t>
      </w:r>
    </w:p>
    <w:p w14:paraId="20882DEA" w14:textId="77777777" w:rsidR="004004A9" w:rsidRDefault="004004A9" w:rsidP="00FA1267">
      <w:pPr>
        <w:pStyle w:val="NormalWeb"/>
      </w:pPr>
    </w:p>
    <w:p w14:paraId="685DC193" w14:textId="1F2ED417" w:rsidR="004004A9" w:rsidRDefault="004004A9">
      <w:pPr>
        <w:rPr>
          <w:rFonts w:ascii="Times New Roman" w:eastAsia="Times New Roman" w:hAnsi="Times New Roman" w:cs="Times New Roman"/>
          <w:kern w:val="0"/>
          <w14:ligatures w14:val="none"/>
        </w:rPr>
      </w:pPr>
      <w:r>
        <w:br w:type="page"/>
      </w:r>
    </w:p>
    <w:p w14:paraId="628B30A6" w14:textId="77777777" w:rsidR="004004A9" w:rsidRPr="003969FC" w:rsidRDefault="004004A9" w:rsidP="00FA1267">
      <w:pPr>
        <w:pStyle w:val="NormalWeb"/>
      </w:pPr>
    </w:p>
    <w:p w14:paraId="1CC786A8" w14:textId="77777777" w:rsidR="00FA1267" w:rsidRPr="003969FC" w:rsidRDefault="00FA1267" w:rsidP="00FA1267">
      <w:pPr>
        <w:pStyle w:val="Heading2"/>
      </w:pPr>
      <w:bookmarkStart w:id="16" w:name="_Toc186353812"/>
      <w:bookmarkStart w:id="17" w:name="_Toc186356451"/>
      <w:r w:rsidRPr="003969FC">
        <w:t>Part IV: Global Structures &amp; Moral Framework</w:t>
      </w:r>
      <w:bookmarkEnd w:id="16"/>
      <w:bookmarkEnd w:id="17"/>
    </w:p>
    <w:p w14:paraId="2D858FEF" w14:textId="77777777" w:rsidR="00FA1267" w:rsidRPr="003969FC" w:rsidRDefault="0034147F" w:rsidP="00FA1267">
      <w:r>
        <w:rPr>
          <w:noProof/>
        </w:rPr>
        <w:pict w14:anchorId="318D0F42">
          <v:rect id="_x0000_i1036" alt="" style="width:468pt;height:.05pt;mso-width-percent:0;mso-height-percent:0;mso-width-percent:0;mso-height-percent:0" o:hralign="center" o:hrstd="t" o:hr="t" fillcolor="#a0a0a0" stroked="f"/>
        </w:pict>
      </w:r>
    </w:p>
    <w:p w14:paraId="77EF8070" w14:textId="77777777" w:rsidR="00FA1267" w:rsidRPr="003969FC" w:rsidRDefault="00FA1267" w:rsidP="00FA1267">
      <w:pPr>
        <w:pStyle w:val="Heading3"/>
      </w:pPr>
      <w:bookmarkStart w:id="18" w:name="_Toc186353813"/>
      <w:bookmarkStart w:id="19" w:name="_Toc186356452"/>
      <w:r w:rsidRPr="003969FC">
        <w:t>Chapter 5 – Policy, Ethics, and Accountability</w:t>
      </w:r>
      <w:bookmarkEnd w:id="18"/>
      <w:bookmarkEnd w:id="19"/>
    </w:p>
    <w:p w14:paraId="3A1F46DE" w14:textId="77777777" w:rsidR="00FA1267" w:rsidRPr="003969FC" w:rsidRDefault="0034147F" w:rsidP="00FA1267">
      <w:r>
        <w:rPr>
          <w:noProof/>
        </w:rPr>
        <w:pict w14:anchorId="0E25A10D">
          <v:rect id="_x0000_i1035" alt="" style="width:468pt;height:.05pt;mso-width-percent:0;mso-height-percent:0;mso-width-percent:0;mso-height-percent:0" o:hralign="center" o:hrstd="t" o:hr="t" fillcolor="#a0a0a0" stroked="f"/>
        </w:pict>
      </w:r>
    </w:p>
    <w:p w14:paraId="5CEE87FE" w14:textId="77777777" w:rsidR="00FA1267" w:rsidRPr="003969FC" w:rsidRDefault="00FA1267" w:rsidP="00FA1267">
      <w:pPr>
        <w:pStyle w:val="Heading4"/>
      </w:pPr>
      <w:r w:rsidRPr="003969FC">
        <w:t>5.1 Global Coalition for Knowledge Access</w:t>
      </w:r>
    </w:p>
    <w:p w14:paraId="45E3F0D7" w14:textId="77777777" w:rsidR="00FA1267" w:rsidRPr="003969FC" w:rsidRDefault="00FA1267" w:rsidP="00FA1267">
      <w:pPr>
        <w:pStyle w:val="NormalWeb"/>
      </w:pPr>
      <w:r w:rsidRPr="003969FC">
        <w:rPr>
          <w:rStyle w:val="Strong"/>
          <w:rFonts w:eastAsiaTheme="majorEastAsia"/>
        </w:rPr>
        <w:t>Proposed Alliances Among Tech Firms, Educational Bodies, Philanthropic Institutions</w:t>
      </w:r>
      <w:r w:rsidRPr="003969FC">
        <w:br/>
        <w:t xml:space="preserve">In order for </w:t>
      </w:r>
      <w:r w:rsidRPr="003969FC">
        <w:rPr>
          <w:rStyle w:val="Strong"/>
          <w:rFonts w:eastAsiaTheme="majorEastAsia"/>
        </w:rPr>
        <w:t>Human 2.0</w:t>
      </w:r>
      <w:r w:rsidRPr="003969FC">
        <w:t xml:space="preserve"> to flourish at scale, diverse stakeholders must unite behind a shared vision. Tech giants can offer advanced AI mentors and AR/VR technology; educational institutions bring expertise in pedagogy and curriculum design; philanthropic organizations contribute funding and community outreach. By forming a </w:t>
      </w:r>
      <w:r w:rsidRPr="003969FC">
        <w:rPr>
          <w:rStyle w:val="Strong"/>
          <w:rFonts w:eastAsiaTheme="majorEastAsia"/>
        </w:rPr>
        <w:t>Global Coalition for Knowledge Access</w:t>
      </w:r>
      <w:r w:rsidRPr="003969FC">
        <w:t>, these parties coordinate to distribute resources—both hardware and software—on equitable terms worldwide.</w:t>
      </w:r>
    </w:p>
    <w:p w14:paraId="549B5294" w14:textId="77777777" w:rsidR="00FA1267" w:rsidRPr="003969FC" w:rsidRDefault="00FA1267" w:rsidP="00FA1267">
      <w:pPr>
        <w:pStyle w:val="NormalWeb"/>
        <w:numPr>
          <w:ilvl w:val="0"/>
          <w:numId w:val="206"/>
        </w:numPr>
      </w:pPr>
      <w:r w:rsidRPr="003969FC">
        <w:rPr>
          <w:rStyle w:val="Strong"/>
          <w:rFonts w:eastAsiaTheme="majorEastAsia"/>
        </w:rPr>
        <w:t>Minimizing Duplication:</w:t>
      </w:r>
      <w:r w:rsidRPr="003969FC">
        <w:t xml:space="preserve"> Too often, multiple organizations tackle the same educational challenges independently, leading to parallel solutions that never intersect. This coalition streamlines efforts, ensuring no region is overlooked and that successful pilots quickly become standardized models.</w:t>
      </w:r>
    </w:p>
    <w:p w14:paraId="65BBD5E0" w14:textId="77777777" w:rsidR="00FA1267" w:rsidRPr="003969FC" w:rsidRDefault="00FA1267" w:rsidP="00FA1267">
      <w:pPr>
        <w:pStyle w:val="NormalWeb"/>
        <w:numPr>
          <w:ilvl w:val="0"/>
          <w:numId w:val="206"/>
        </w:numPr>
      </w:pPr>
      <w:r w:rsidRPr="003969FC">
        <w:rPr>
          <w:rStyle w:val="Strong"/>
          <w:rFonts w:eastAsiaTheme="majorEastAsia"/>
        </w:rPr>
        <w:t>Ensuring Even Distribution of AI Mentors and AR/VR Hardware:</w:t>
      </w:r>
      <w:r w:rsidRPr="003969FC">
        <w:t xml:space="preserve"> The coalition can set benchmarks: for instance, every community center globally to have a baseline set of AR devices and AI mentors within a 2-year horizon. Rural and marginalized areas receive extra support, bridging the digital divide and guaranteeing that “knowledge injection” remains not a privilege, but a birthright.</w:t>
      </w:r>
    </w:p>
    <w:p w14:paraId="7208D19B" w14:textId="77777777" w:rsidR="00FA1267" w:rsidRPr="003969FC" w:rsidRDefault="0034147F" w:rsidP="00FA1267">
      <w:r>
        <w:rPr>
          <w:noProof/>
        </w:rPr>
        <w:pict w14:anchorId="1F5EE299">
          <v:rect id="_x0000_i1034" alt="" style="width:468pt;height:.05pt;mso-width-percent:0;mso-height-percent:0;mso-width-percent:0;mso-height-percent:0" o:hralign="center" o:hrstd="t" o:hr="t" fillcolor="#a0a0a0" stroked="f"/>
        </w:pict>
      </w:r>
    </w:p>
    <w:p w14:paraId="575E2257" w14:textId="77777777" w:rsidR="00FA1267" w:rsidRPr="003969FC" w:rsidRDefault="00FA1267" w:rsidP="00FA1267">
      <w:pPr>
        <w:pStyle w:val="Heading4"/>
      </w:pPr>
      <w:r w:rsidRPr="003969FC">
        <w:t>5.2 Data &amp; Transparency</w:t>
      </w:r>
    </w:p>
    <w:p w14:paraId="5158472F" w14:textId="77777777" w:rsidR="00FA1267" w:rsidRPr="003969FC" w:rsidRDefault="00FA1267" w:rsidP="00FA1267">
      <w:pPr>
        <w:pStyle w:val="NormalWeb"/>
      </w:pPr>
      <w:r w:rsidRPr="003969FC">
        <w:rPr>
          <w:rStyle w:val="Strong"/>
          <w:rFonts w:eastAsiaTheme="majorEastAsia"/>
        </w:rPr>
        <w:t>Ethical Guidelines for Storing Learners’ Progress, Biometric Data from BCI, or Emotional Overlays</w:t>
      </w:r>
      <w:r w:rsidRPr="003969FC">
        <w:br/>
        <w:t xml:space="preserve">With advanced AR and BCI systems, significant data is generated—capturing everything from user performance to emotional states. These tools heighten customization, but if misused, they can compromise personal dignity or privacy. Hence, the movement requires </w:t>
      </w:r>
      <w:r w:rsidRPr="003969FC">
        <w:rPr>
          <w:rStyle w:val="Strong"/>
          <w:rFonts w:eastAsiaTheme="majorEastAsia"/>
        </w:rPr>
        <w:t>stringent ethical guidelines</w:t>
      </w:r>
      <w:r w:rsidRPr="003969FC">
        <w:t>:</w:t>
      </w:r>
    </w:p>
    <w:p w14:paraId="42AFBF46" w14:textId="77777777" w:rsidR="00FA1267" w:rsidRPr="003969FC" w:rsidRDefault="00FA1267" w:rsidP="00FA1267">
      <w:pPr>
        <w:numPr>
          <w:ilvl w:val="0"/>
          <w:numId w:val="207"/>
        </w:numPr>
        <w:spacing w:before="100" w:beforeAutospacing="1" w:after="100" w:afterAutospacing="1"/>
      </w:pPr>
      <w:r w:rsidRPr="003969FC">
        <w:rPr>
          <w:rStyle w:val="Strong"/>
        </w:rPr>
        <w:t>Data Minimization</w:t>
      </w:r>
      <w:r w:rsidRPr="003969FC">
        <w:t>: Only retain the information essential for tailoring the user’s educational journey, discarding irrelevant data once its immediate purpose is met.</w:t>
      </w:r>
    </w:p>
    <w:p w14:paraId="6B49BB2A" w14:textId="77777777" w:rsidR="00FA1267" w:rsidRPr="003969FC" w:rsidRDefault="00FA1267" w:rsidP="00FA1267">
      <w:pPr>
        <w:numPr>
          <w:ilvl w:val="0"/>
          <w:numId w:val="207"/>
        </w:numPr>
        <w:spacing w:before="100" w:beforeAutospacing="1" w:after="100" w:afterAutospacing="1"/>
      </w:pPr>
      <w:r w:rsidRPr="003969FC">
        <w:rPr>
          <w:rStyle w:val="Strong"/>
        </w:rPr>
        <w:t>Secure Storage &amp; Encryption</w:t>
      </w:r>
      <w:r w:rsidRPr="003969FC">
        <w:t>: Adopt robust, open protocols for safeguarding biometric markers or emotional profiles, preventing leaks or unauthorized exploitation.</w:t>
      </w:r>
    </w:p>
    <w:p w14:paraId="069E3931" w14:textId="77777777" w:rsidR="00FA1267" w:rsidRPr="003969FC" w:rsidRDefault="00FA1267" w:rsidP="00FA1267">
      <w:pPr>
        <w:numPr>
          <w:ilvl w:val="0"/>
          <w:numId w:val="207"/>
        </w:numPr>
        <w:spacing w:before="100" w:beforeAutospacing="1" w:after="100" w:afterAutospacing="1"/>
      </w:pPr>
      <w:r w:rsidRPr="003969FC">
        <w:rPr>
          <w:rStyle w:val="Strong"/>
        </w:rPr>
        <w:lastRenderedPageBreak/>
        <w:t>Informed Consent</w:t>
      </w:r>
      <w:r w:rsidRPr="003969FC">
        <w:t>: Ensure every user understands what data is collected and how it’s used. A user-friendly interface or “data management dashboard” can clarify storage options and let learners opt out of certain data captures.</w:t>
      </w:r>
    </w:p>
    <w:p w14:paraId="7F04B4BC" w14:textId="77777777" w:rsidR="00FA1267" w:rsidRPr="003969FC" w:rsidRDefault="00FA1267" w:rsidP="00FA1267">
      <w:pPr>
        <w:pStyle w:val="NormalWeb"/>
      </w:pPr>
      <w:r w:rsidRPr="003969FC">
        <w:rPr>
          <w:rStyle w:val="Strong"/>
          <w:rFonts w:eastAsiaTheme="majorEastAsia"/>
        </w:rPr>
        <w:t>Public Scoreboards or Dashboards Measuring Re-Skilling Success, Micro-Credential Issuance</w:t>
      </w:r>
      <w:r w:rsidRPr="003969FC">
        <w:br/>
        <w:t xml:space="preserve">On a macro scale, transparency also means displaying how communities, cities, or entire nations progress with re-skilling and micro-credentials. For instance, a </w:t>
      </w:r>
      <w:r w:rsidRPr="003969FC">
        <w:rPr>
          <w:rStyle w:val="Strong"/>
          <w:rFonts w:eastAsiaTheme="majorEastAsia"/>
        </w:rPr>
        <w:t>global scoreboard</w:t>
      </w:r>
      <w:r w:rsidRPr="003969FC">
        <w:t xml:space="preserve"> could track the proportion of local residents who have earned at least one micro-credential in the past year, or the rate of skill injection modules completed. This fosters a sense of healthy competition and collective motivation, reinforcing the movement’s mission to elevate knowledge for all.</w:t>
      </w:r>
    </w:p>
    <w:p w14:paraId="72968961" w14:textId="77777777" w:rsidR="00FA1267" w:rsidRPr="003969FC" w:rsidRDefault="0034147F" w:rsidP="00FA1267">
      <w:r>
        <w:rPr>
          <w:noProof/>
        </w:rPr>
        <w:pict w14:anchorId="0E48743A">
          <v:rect id="_x0000_i1033" alt="" style="width:468pt;height:.05pt;mso-width-percent:0;mso-height-percent:0;mso-width-percent:0;mso-height-percent:0" o:hralign="center" o:hrstd="t" o:hr="t" fillcolor="#a0a0a0" stroked="f"/>
        </w:pict>
      </w:r>
    </w:p>
    <w:p w14:paraId="14213C76" w14:textId="77777777" w:rsidR="00FA1267" w:rsidRPr="003969FC" w:rsidRDefault="00FA1267" w:rsidP="00FA1267">
      <w:pPr>
        <w:pStyle w:val="Heading4"/>
      </w:pPr>
      <w:r w:rsidRPr="003969FC">
        <w:t>5.3 Protecting Cultural Identity &amp; Diversity</w:t>
      </w:r>
    </w:p>
    <w:p w14:paraId="5A1935D6" w14:textId="77777777" w:rsidR="00FA1267" w:rsidRPr="003969FC" w:rsidRDefault="00FA1267" w:rsidP="00FA1267">
      <w:pPr>
        <w:pStyle w:val="NormalWeb"/>
      </w:pPr>
      <w:r w:rsidRPr="003969FC">
        <w:rPr>
          <w:rStyle w:val="Strong"/>
          <w:rFonts w:eastAsiaTheme="majorEastAsia"/>
        </w:rPr>
        <w:t>Encouraging Localized Content Creation (Languages, Traditions) for AI-Based Lessons</w:t>
      </w:r>
      <w:r w:rsidRPr="003969FC">
        <w:br/>
        <w:t>A hazard of globalized technology is cultural homogenization—where a single dominant language or teaching style overshadows local identities. To avert this, the movement actively supports localized content creation. AI mentors can be trained in indigenous languages or dialects, offering lessons that blend region-specific traditions with modern skill sets. Storytelling elements—myths, folk tales, or local heroes—can be woven into AR learning modules, preserving heritage while fueling curiosity.</w:t>
      </w:r>
    </w:p>
    <w:p w14:paraId="14332AB6" w14:textId="77777777" w:rsidR="00FA1267" w:rsidRPr="003969FC" w:rsidRDefault="00FA1267" w:rsidP="00FA1267">
      <w:pPr>
        <w:pStyle w:val="NormalWeb"/>
      </w:pPr>
      <w:r w:rsidRPr="003969FC">
        <w:rPr>
          <w:rStyle w:val="Strong"/>
          <w:rFonts w:eastAsiaTheme="majorEastAsia"/>
        </w:rPr>
        <w:t>Tools That Preserve Cultural Nuances Instead of Homogenizing Them</w:t>
      </w:r>
      <w:r w:rsidRPr="003969FC">
        <w:br/>
        <w:t xml:space="preserve">Whether it’s a grammar overlay that highlights unique regional phrases or a VR simulation that re-creates an endangered cultural practice, the focus must remain on </w:t>
      </w:r>
      <w:r w:rsidRPr="003969FC">
        <w:rPr>
          <w:rStyle w:val="Strong"/>
          <w:rFonts w:eastAsiaTheme="majorEastAsia"/>
        </w:rPr>
        <w:t>authenticity</w:t>
      </w:r>
      <w:r w:rsidRPr="003969FC">
        <w:t>. This entails:</w:t>
      </w:r>
    </w:p>
    <w:p w14:paraId="09FA450A" w14:textId="77777777" w:rsidR="00FA1267" w:rsidRPr="003969FC" w:rsidRDefault="00FA1267" w:rsidP="00FA1267">
      <w:pPr>
        <w:numPr>
          <w:ilvl w:val="0"/>
          <w:numId w:val="208"/>
        </w:numPr>
        <w:spacing w:before="100" w:beforeAutospacing="1" w:after="100" w:afterAutospacing="1"/>
      </w:pPr>
      <w:r w:rsidRPr="003969FC">
        <w:rPr>
          <w:rStyle w:val="Strong"/>
        </w:rPr>
        <w:t>Community Co-Creation</w:t>
      </w:r>
      <w:r w:rsidRPr="003969FC">
        <w:t>: Local educators and elders guide the AI on nuance—ensuring lessons reflect real traditions instead of generic stereotypes.</w:t>
      </w:r>
    </w:p>
    <w:p w14:paraId="61373798" w14:textId="77777777" w:rsidR="00FA1267" w:rsidRPr="003969FC" w:rsidRDefault="00FA1267" w:rsidP="00FA1267">
      <w:pPr>
        <w:numPr>
          <w:ilvl w:val="0"/>
          <w:numId w:val="208"/>
        </w:numPr>
        <w:spacing w:before="100" w:beforeAutospacing="1" w:after="100" w:afterAutospacing="1"/>
      </w:pPr>
      <w:r w:rsidRPr="003969FC">
        <w:rPr>
          <w:rStyle w:val="Strong"/>
        </w:rPr>
        <w:t>Open-Source Cultural Assets</w:t>
      </w:r>
      <w:r w:rsidRPr="003969FC">
        <w:t>: Public repositories of region-specific 3D models, historical events, or symbolic artifacts that AI mentors can adapt to different educational contexts.</w:t>
      </w:r>
    </w:p>
    <w:p w14:paraId="1E5CAD72" w14:textId="77777777" w:rsidR="00FA1267" w:rsidRPr="003969FC" w:rsidRDefault="00FA1267" w:rsidP="00FA1267">
      <w:pPr>
        <w:pStyle w:val="NormalWeb"/>
      </w:pPr>
      <w:r w:rsidRPr="003969FC">
        <w:t xml:space="preserve">By blending global infrastructure with a respectful approach to diversity, the movement sustains a </w:t>
      </w:r>
      <w:r w:rsidRPr="003969FC">
        <w:rPr>
          <w:rStyle w:val="Strong"/>
          <w:rFonts w:eastAsiaTheme="majorEastAsia"/>
        </w:rPr>
        <w:t>mosaic of knowledge ecosystems</w:t>
      </w:r>
      <w:r w:rsidRPr="003969FC">
        <w:t>, each retaining its distinctive heritage while sharing in the universal right to learn.</w:t>
      </w:r>
    </w:p>
    <w:p w14:paraId="64769F1E" w14:textId="77777777" w:rsidR="00FA1267" w:rsidRPr="003969FC" w:rsidRDefault="0034147F" w:rsidP="00FA1267">
      <w:r>
        <w:rPr>
          <w:noProof/>
        </w:rPr>
        <w:pict w14:anchorId="5FE16D8C">
          <v:rect id="_x0000_i1032" alt="" style="width:468pt;height:.05pt;mso-width-percent:0;mso-height-percent:0;mso-width-percent:0;mso-height-percent:0" o:hralign="center" o:hrstd="t" o:hr="t" fillcolor="#a0a0a0" stroked="f"/>
        </w:pict>
      </w:r>
    </w:p>
    <w:p w14:paraId="35C31E49" w14:textId="77777777" w:rsidR="00FA1267" w:rsidRPr="003969FC" w:rsidRDefault="00FA1267" w:rsidP="00FA1267">
      <w:pPr>
        <w:pStyle w:val="Heading3"/>
      </w:pPr>
      <w:bookmarkStart w:id="20" w:name="_Toc186353814"/>
      <w:bookmarkStart w:id="21" w:name="_Toc186356453"/>
      <w:r w:rsidRPr="003969FC">
        <w:t>Chapter 6 – The Culture of Empathy &amp; Curiosity</w:t>
      </w:r>
      <w:bookmarkEnd w:id="20"/>
      <w:bookmarkEnd w:id="21"/>
    </w:p>
    <w:p w14:paraId="196DAEF0" w14:textId="77777777" w:rsidR="00FA1267" w:rsidRPr="003969FC" w:rsidRDefault="0034147F" w:rsidP="00FA1267">
      <w:r>
        <w:rPr>
          <w:noProof/>
        </w:rPr>
        <w:pict w14:anchorId="0575314A">
          <v:rect id="_x0000_i1031" alt="" style="width:468pt;height:.05pt;mso-width-percent:0;mso-height-percent:0;mso-width-percent:0;mso-height-percent:0" o:hralign="center" o:hrstd="t" o:hr="t" fillcolor="#a0a0a0" stroked="f"/>
        </w:pict>
      </w:r>
    </w:p>
    <w:p w14:paraId="1FDCED8E" w14:textId="77777777" w:rsidR="00FA1267" w:rsidRPr="003969FC" w:rsidRDefault="00FA1267" w:rsidP="00FA1267">
      <w:pPr>
        <w:pStyle w:val="Heading4"/>
      </w:pPr>
      <w:r w:rsidRPr="003969FC">
        <w:t>6.1 Micro-Burst Learning Rituals</w:t>
      </w:r>
    </w:p>
    <w:p w14:paraId="7992152F" w14:textId="77777777" w:rsidR="00FA1267" w:rsidRPr="003969FC" w:rsidRDefault="00FA1267" w:rsidP="00FA1267">
      <w:pPr>
        <w:pStyle w:val="NormalWeb"/>
      </w:pPr>
      <w:r w:rsidRPr="003969FC">
        <w:rPr>
          <w:rStyle w:val="Strong"/>
          <w:rFonts w:eastAsiaTheme="majorEastAsia"/>
        </w:rPr>
        <w:t>Normalizing Quick Daily Lessons or Empathy Sessions</w:t>
      </w:r>
      <w:r w:rsidRPr="003969FC">
        <w:br/>
        <w:t xml:space="preserve">Where once the pursuit of knowledge required formal classes and set durations, micro-burst </w:t>
      </w:r>
      <w:r w:rsidRPr="003969FC">
        <w:lastRenderedPageBreak/>
        <w:t xml:space="preserve">learning now becomes a </w:t>
      </w:r>
      <w:r w:rsidRPr="003969FC">
        <w:rPr>
          <w:rStyle w:val="Strong"/>
          <w:rFonts w:eastAsiaTheme="majorEastAsia"/>
        </w:rPr>
        <w:t>cultural norm</w:t>
      </w:r>
      <w:r w:rsidRPr="003969FC">
        <w:t>. Picture families or coworkers taking a “knowledge pause” midday—tapping into a 10-minute AR module on cosmic phenomena or a group empathy exercise guided by an AI mentor. These short sessions aren’t mere intellectual snacks; they become a bonding thread, reminding everyone that continuous learning is both easy and invigorating.</w:t>
      </w:r>
    </w:p>
    <w:p w14:paraId="7443998B" w14:textId="77777777" w:rsidR="00FA1267" w:rsidRPr="003969FC" w:rsidRDefault="00FA1267" w:rsidP="00FA1267">
      <w:pPr>
        <w:pStyle w:val="NormalWeb"/>
      </w:pPr>
      <w:r w:rsidRPr="003969FC">
        <w:rPr>
          <w:rStyle w:val="Strong"/>
          <w:rFonts w:eastAsiaTheme="majorEastAsia"/>
        </w:rPr>
        <w:t>Encouraging Families or Communities to Learn Together in Playful, Supportive Ways</w:t>
      </w:r>
      <w:r w:rsidRPr="003969FC">
        <w:br/>
        <w:t>Workshops in community spaces might feature cooperative AR challenges—like building virtual eco-systems or cooking globally-inspired dishes. Such collective tasks spark positive social dynamics while cultivating a shared sense of purpose. Adults, teens, and younger children team up, each discovering a role that leverages their abilities—music, language, spatial thinking, or simple enthusiasm.</w:t>
      </w:r>
    </w:p>
    <w:p w14:paraId="606651DF" w14:textId="77777777" w:rsidR="00FA1267" w:rsidRPr="003969FC" w:rsidRDefault="0034147F" w:rsidP="00FA1267">
      <w:r>
        <w:rPr>
          <w:noProof/>
        </w:rPr>
        <w:pict w14:anchorId="560E4B90">
          <v:rect id="_x0000_i1030" alt="" style="width:468pt;height:.05pt;mso-width-percent:0;mso-height-percent:0;mso-width-percent:0;mso-height-percent:0" o:hralign="center" o:hrstd="t" o:hr="t" fillcolor="#a0a0a0" stroked="f"/>
        </w:pict>
      </w:r>
    </w:p>
    <w:p w14:paraId="505FB2E6" w14:textId="77777777" w:rsidR="00FA1267" w:rsidRPr="003969FC" w:rsidRDefault="00FA1267" w:rsidP="00FA1267">
      <w:pPr>
        <w:pStyle w:val="Heading4"/>
      </w:pPr>
      <w:r w:rsidRPr="003969FC">
        <w:t>6.2 Holistic Well-Being</w:t>
      </w:r>
    </w:p>
    <w:p w14:paraId="025F0810" w14:textId="77777777" w:rsidR="00FA1267" w:rsidRPr="003969FC" w:rsidRDefault="00FA1267" w:rsidP="00FA1267">
      <w:pPr>
        <w:pStyle w:val="NormalWeb"/>
      </w:pPr>
      <w:r w:rsidRPr="003969FC">
        <w:rPr>
          <w:rStyle w:val="Strong"/>
          <w:rFonts w:eastAsiaTheme="majorEastAsia"/>
        </w:rPr>
        <w:t>Integrating Mental and Emotional Check-Ins with AI Mentors (“Compassion Triggers,” Daily Reflection Points)</w:t>
      </w:r>
      <w:r w:rsidRPr="003969FC">
        <w:br/>
        <w:t xml:space="preserve">To ensure learning and technology remain healthy, AI mentors incorporate short emotional check-ins. For instance, on launching an AR study session, Mentor XR might prompt, “How do you feel today—energetic, overwhelmed, curious, or stressed?” Based on responses, it adjusts lesson depth or may propose a quick breathing exercise. These </w:t>
      </w:r>
      <w:r w:rsidRPr="003969FC">
        <w:rPr>
          <w:rStyle w:val="Strong"/>
          <w:rFonts w:eastAsiaTheme="majorEastAsia"/>
        </w:rPr>
        <w:t>“compassion triggers”</w:t>
      </w:r>
      <w:r w:rsidRPr="003969FC">
        <w:t xml:space="preserve"> instill a culture that values mental equilibrium as much as intellectual growth.</w:t>
      </w:r>
    </w:p>
    <w:p w14:paraId="12C4ED83" w14:textId="77777777" w:rsidR="00FA1267" w:rsidRPr="003969FC" w:rsidRDefault="00FA1267" w:rsidP="00FA1267">
      <w:pPr>
        <w:pStyle w:val="NormalWeb"/>
      </w:pPr>
      <w:r w:rsidRPr="003969FC">
        <w:rPr>
          <w:rStyle w:val="Strong"/>
          <w:rFonts w:eastAsiaTheme="majorEastAsia"/>
        </w:rPr>
        <w:t>Balancing High-Tech Living with Unplugged Intervals for Personal Introspection</w:t>
      </w:r>
      <w:r w:rsidRPr="003969FC">
        <w:br/>
        <w:t>Although AR and AI mentors streamline skill acquisition, the Human 2.0 movement champions occasional offline “reflection zones.” People can schedule daily or weekly tech-fast segments—shutting off lenses and sensors—to nurture personal musings, family time, or nature walks. This balance guards against burnout and keeps technology in its rightful place: a helpful aid, not an intrusive overlord.</w:t>
      </w:r>
    </w:p>
    <w:p w14:paraId="27D867B3" w14:textId="77777777" w:rsidR="00FA1267" w:rsidRPr="003969FC" w:rsidRDefault="0034147F" w:rsidP="00FA1267">
      <w:r>
        <w:rPr>
          <w:noProof/>
        </w:rPr>
        <w:pict w14:anchorId="25780EBD">
          <v:rect id="_x0000_i1029" alt="" style="width:468pt;height:.05pt;mso-width-percent:0;mso-height-percent:0;mso-width-percent:0;mso-height-percent:0" o:hralign="center" o:hrstd="t" o:hr="t" fillcolor="#a0a0a0" stroked="f"/>
        </w:pict>
      </w:r>
    </w:p>
    <w:p w14:paraId="340F15D8" w14:textId="77777777" w:rsidR="00FA1267" w:rsidRPr="003969FC" w:rsidRDefault="00FA1267" w:rsidP="00FA1267">
      <w:pPr>
        <w:pStyle w:val="Heading4"/>
      </w:pPr>
      <w:r w:rsidRPr="003969FC">
        <w:t>6.3 Cultivating Purpose</w:t>
      </w:r>
    </w:p>
    <w:p w14:paraId="41C5D4D0" w14:textId="77777777" w:rsidR="00FA1267" w:rsidRPr="003969FC" w:rsidRDefault="00FA1267" w:rsidP="00FA1267">
      <w:pPr>
        <w:pStyle w:val="NormalWeb"/>
      </w:pPr>
      <w:r w:rsidRPr="003969FC">
        <w:rPr>
          <w:rStyle w:val="Strong"/>
          <w:rFonts w:eastAsiaTheme="majorEastAsia"/>
        </w:rPr>
        <w:t>Shifting Mindsets from “Economic Competition” to “Mutual Empowerment”</w:t>
      </w:r>
      <w:r w:rsidRPr="003969FC">
        <w:br/>
        <w:t>At the crux of the movement lies a bigger worldview shift. Rather than perpetuating a race for profit or status, the culture aims to highlight how shared knowledge can elevate entire communities. If a local builder learns XR-driven design techniques, they freely pass insights to neighbors, generating a ripple effect of competency. Economic growth becomes a byproduct of collective empowerment—not the sole driver.</w:t>
      </w:r>
    </w:p>
    <w:p w14:paraId="5D820521" w14:textId="77777777" w:rsidR="00FA1267" w:rsidRPr="003969FC" w:rsidRDefault="00FA1267" w:rsidP="00FA1267">
      <w:pPr>
        <w:pStyle w:val="NormalWeb"/>
      </w:pPr>
      <w:r w:rsidRPr="003969FC">
        <w:rPr>
          <w:rStyle w:val="Strong"/>
          <w:rFonts w:eastAsiaTheme="majorEastAsia"/>
        </w:rPr>
        <w:t>Showcasing Real Stories: From Local Artisans to Cosmic Explorers, Each Driven by Innate Curiosity</w:t>
      </w:r>
      <w:r w:rsidRPr="003969FC">
        <w:br/>
        <w:t xml:space="preserve">Curiosity, after all, is universal—whether it’s a retiree rediscovering painting skills via AR tutorials, or a teenage coder dreaming of building a lunar habitat simulation. By featuring personal journeys that break stereotypes—like a remote fisher who masters solar-powered </w:t>
      </w:r>
      <w:r w:rsidRPr="003969FC">
        <w:lastRenderedPageBreak/>
        <w:t xml:space="preserve">engineering or an ex-accountant turned VR music composer—the movement seeds aspiration in every corner. This emphasis on creativity and personal calling fosters a society that sees technology not as a threat, but as a grand tool to </w:t>
      </w:r>
      <w:r w:rsidRPr="003969FC">
        <w:rPr>
          <w:rStyle w:val="Strong"/>
          <w:rFonts w:eastAsiaTheme="majorEastAsia"/>
        </w:rPr>
        <w:t>reinvent</w:t>
      </w:r>
      <w:r w:rsidRPr="003969FC">
        <w:t xml:space="preserve"> ourselves at every stage of life.</w:t>
      </w:r>
    </w:p>
    <w:p w14:paraId="600BAD76" w14:textId="77777777" w:rsidR="00FA1267" w:rsidRDefault="00FA1267" w:rsidP="00FA1267">
      <w:pPr>
        <w:pStyle w:val="NormalWeb"/>
      </w:pPr>
      <w:r w:rsidRPr="003969FC">
        <w:t>Through these cultural pillars—micro-burst learning, holistic well-being, and the quest for genuine purpose—Part IV underscores the ethical and emotional bedrock of the Human 2.0 paradigm. It reminds us that while technology can streamline skill acquisition, our humanity lies in compassion, curiosity, and the readiness to champion one another’s growth.</w:t>
      </w:r>
    </w:p>
    <w:p w14:paraId="51EE7AFC" w14:textId="13514BA2" w:rsidR="004004A9" w:rsidRDefault="004004A9">
      <w:pPr>
        <w:rPr>
          <w:rFonts w:ascii="Times New Roman" w:eastAsia="Times New Roman" w:hAnsi="Times New Roman" w:cs="Times New Roman"/>
          <w:kern w:val="0"/>
          <w14:ligatures w14:val="none"/>
        </w:rPr>
      </w:pPr>
      <w:r>
        <w:br w:type="page"/>
      </w:r>
    </w:p>
    <w:p w14:paraId="30CF4624" w14:textId="77777777" w:rsidR="004004A9" w:rsidRPr="003969FC" w:rsidRDefault="004004A9" w:rsidP="00FA1267">
      <w:pPr>
        <w:pStyle w:val="NormalWeb"/>
      </w:pPr>
    </w:p>
    <w:p w14:paraId="22843B3E" w14:textId="77777777" w:rsidR="00FA1267" w:rsidRPr="003969FC" w:rsidRDefault="00FA1267" w:rsidP="00FA1267">
      <w:pPr>
        <w:pStyle w:val="Heading2"/>
      </w:pPr>
      <w:bookmarkStart w:id="22" w:name="_Toc186353815"/>
      <w:bookmarkStart w:id="23" w:name="_Toc186356454"/>
      <w:r w:rsidRPr="003969FC">
        <w:t>Part V: Ten Practical Steps Toward Human 2.0</w:t>
      </w:r>
      <w:bookmarkEnd w:id="22"/>
      <w:bookmarkEnd w:id="23"/>
    </w:p>
    <w:p w14:paraId="45E16BBA" w14:textId="77777777" w:rsidR="00FA1267" w:rsidRPr="003969FC" w:rsidRDefault="00FA1267" w:rsidP="00FA1267">
      <w:pPr>
        <w:pStyle w:val="NormalWeb"/>
        <w:numPr>
          <w:ilvl w:val="0"/>
          <w:numId w:val="209"/>
        </w:numPr>
      </w:pPr>
      <w:r w:rsidRPr="003969FC">
        <w:rPr>
          <w:rStyle w:val="Strong"/>
          <w:rFonts w:eastAsiaTheme="majorEastAsia"/>
        </w:rPr>
        <w:t>Adopt Short Micro-Lessons Daily</w:t>
      </w:r>
    </w:p>
    <w:p w14:paraId="73EE8CDE" w14:textId="77777777" w:rsidR="00FA1267" w:rsidRPr="003969FC" w:rsidRDefault="00FA1267" w:rsidP="00FA1267">
      <w:pPr>
        <w:numPr>
          <w:ilvl w:val="1"/>
          <w:numId w:val="209"/>
        </w:numPr>
        <w:spacing w:before="100" w:beforeAutospacing="1" w:after="100" w:afterAutospacing="1"/>
      </w:pPr>
      <w:r w:rsidRPr="003969FC">
        <w:rPr>
          <w:rStyle w:val="Strong"/>
        </w:rPr>
        <w:t>The Practice</w:t>
      </w:r>
      <w:r w:rsidRPr="003969FC">
        <w:t xml:space="preserve">: Incorporate quick, 5–10 minute learning bursts into your morning—either through a specialized micro-learning app or an </w:t>
      </w:r>
      <w:r w:rsidRPr="003969FC">
        <w:rPr>
          <w:rStyle w:val="Emphasis"/>
        </w:rPr>
        <w:t>AI mentor</w:t>
      </w:r>
      <w:r w:rsidRPr="003969FC">
        <w:t xml:space="preserve"> like Mentor XR.</w:t>
      </w:r>
    </w:p>
    <w:p w14:paraId="219F19BC" w14:textId="77777777" w:rsidR="00FA1267" w:rsidRPr="003969FC" w:rsidRDefault="00FA1267" w:rsidP="00FA1267">
      <w:pPr>
        <w:numPr>
          <w:ilvl w:val="1"/>
          <w:numId w:val="209"/>
        </w:numPr>
        <w:spacing w:before="100" w:beforeAutospacing="1" w:after="100" w:afterAutospacing="1"/>
      </w:pPr>
      <w:r w:rsidRPr="003969FC">
        <w:rPr>
          <w:rStyle w:val="Strong"/>
        </w:rPr>
        <w:t>Why It Matters</w:t>
      </w:r>
      <w:r w:rsidRPr="003969FC">
        <w:t>: You broaden your horizons without the heavy lift of formal study. By dedicating even a few minutes each day, you maintain a steady flow of fresh insights and maintain a curious mindset.</w:t>
      </w:r>
    </w:p>
    <w:p w14:paraId="6FAB0927" w14:textId="77777777" w:rsidR="00FA1267" w:rsidRPr="003969FC" w:rsidRDefault="00FA1267" w:rsidP="00FA1267">
      <w:pPr>
        <w:pStyle w:val="NormalWeb"/>
        <w:numPr>
          <w:ilvl w:val="0"/>
          <w:numId w:val="209"/>
        </w:numPr>
      </w:pPr>
      <w:r w:rsidRPr="003969FC">
        <w:rPr>
          <w:rStyle w:val="Strong"/>
          <w:rFonts w:eastAsiaTheme="majorEastAsia"/>
        </w:rPr>
        <w:t>Choose One Deep Knowledge Track</w:t>
      </w:r>
    </w:p>
    <w:p w14:paraId="0F8AFE6E" w14:textId="77777777" w:rsidR="00FA1267" w:rsidRPr="003969FC" w:rsidRDefault="00FA1267" w:rsidP="00FA1267">
      <w:pPr>
        <w:numPr>
          <w:ilvl w:val="1"/>
          <w:numId w:val="209"/>
        </w:numPr>
        <w:spacing w:before="100" w:beforeAutospacing="1" w:after="100" w:afterAutospacing="1"/>
      </w:pPr>
      <w:r w:rsidRPr="003969FC">
        <w:rPr>
          <w:rStyle w:val="Strong"/>
        </w:rPr>
        <w:t>The Practice</w:t>
      </w:r>
      <w:r w:rsidRPr="003969FC">
        <w:t>: Select an in-depth skill or topic—like advanced design, renewable tech, or biomedical engineering. Leverage “Train AI” modules for immersive, hands-on mastery.</w:t>
      </w:r>
    </w:p>
    <w:p w14:paraId="624F6C98" w14:textId="77777777" w:rsidR="00FA1267" w:rsidRPr="003969FC" w:rsidRDefault="00FA1267" w:rsidP="00FA1267">
      <w:pPr>
        <w:numPr>
          <w:ilvl w:val="1"/>
          <w:numId w:val="209"/>
        </w:numPr>
        <w:spacing w:before="100" w:beforeAutospacing="1" w:after="100" w:afterAutospacing="1"/>
      </w:pPr>
      <w:r w:rsidRPr="003969FC">
        <w:rPr>
          <w:rStyle w:val="Strong"/>
        </w:rPr>
        <w:t>Why It Matters</w:t>
      </w:r>
      <w:r w:rsidRPr="003969FC">
        <w:t>: Beyond quick tastes of information, deep modules cement real expertise. This balance between micro-burst and in-depth learning accelerates your transformation and keeps you engaged.</w:t>
      </w:r>
    </w:p>
    <w:p w14:paraId="1C05EA9F" w14:textId="77777777" w:rsidR="00FA1267" w:rsidRPr="003969FC" w:rsidRDefault="00FA1267" w:rsidP="00FA1267">
      <w:pPr>
        <w:pStyle w:val="NormalWeb"/>
        <w:numPr>
          <w:ilvl w:val="0"/>
          <w:numId w:val="209"/>
        </w:numPr>
      </w:pPr>
      <w:r w:rsidRPr="003969FC">
        <w:rPr>
          <w:rStyle w:val="Strong"/>
          <w:rFonts w:eastAsiaTheme="majorEastAsia"/>
        </w:rPr>
        <w:t>Perform &amp; Share</w:t>
      </w:r>
    </w:p>
    <w:p w14:paraId="2A06A2B7" w14:textId="77777777" w:rsidR="00FA1267" w:rsidRPr="003969FC" w:rsidRDefault="00FA1267" w:rsidP="00FA1267">
      <w:pPr>
        <w:numPr>
          <w:ilvl w:val="1"/>
          <w:numId w:val="209"/>
        </w:numPr>
        <w:spacing w:before="100" w:beforeAutospacing="1" w:after="100" w:afterAutospacing="1"/>
      </w:pPr>
      <w:r w:rsidRPr="003969FC">
        <w:rPr>
          <w:rStyle w:val="Strong"/>
        </w:rPr>
        <w:t>The Practice</w:t>
      </w:r>
      <w:r w:rsidRPr="003969FC">
        <w:t>: Translate new skills into tangible tasks—be it writing a short piece of code, assembling a simple IoT sensor, or cooking a cultural dish with AR-guided precision. Then post reflections or outcomes online.</w:t>
      </w:r>
    </w:p>
    <w:p w14:paraId="5B9D0EDC" w14:textId="77777777" w:rsidR="00FA1267" w:rsidRPr="003969FC" w:rsidRDefault="00FA1267" w:rsidP="00FA1267">
      <w:pPr>
        <w:numPr>
          <w:ilvl w:val="1"/>
          <w:numId w:val="209"/>
        </w:numPr>
        <w:spacing w:before="100" w:beforeAutospacing="1" w:after="100" w:afterAutospacing="1"/>
      </w:pPr>
      <w:r w:rsidRPr="003969FC">
        <w:rPr>
          <w:rStyle w:val="Strong"/>
        </w:rPr>
        <w:t>Why It Matters</w:t>
      </w:r>
      <w:r w:rsidRPr="003969FC">
        <w:t>: Publicly sharing results not only solidifies your learning but also invites feedback and shows others the value of micro-skills in real life. Performance becomes a motivational tool, reinforcing self-confidence.</w:t>
      </w:r>
    </w:p>
    <w:p w14:paraId="334FF998" w14:textId="77777777" w:rsidR="00FA1267" w:rsidRPr="003969FC" w:rsidRDefault="00FA1267" w:rsidP="00FA1267">
      <w:pPr>
        <w:pStyle w:val="NormalWeb"/>
        <w:numPr>
          <w:ilvl w:val="0"/>
          <w:numId w:val="209"/>
        </w:numPr>
      </w:pPr>
      <w:r w:rsidRPr="003969FC">
        <w:rPr>
          <w:rStyle w:val="Strong"/>
          <w:rFonts w:eastAsiaTheme="majorEastAsia"/>
        </w:rPr>
        <w:t>Earn Micro-Credentials</w:t>
      </w:r>
    </w:p>
    <w:p w14:paraId="1E2716BC" w14:textId="77777777" w:rsidR="00FA1267" w:rsidRPr="003969FC" w:rsidRDefault="00FA1267" w:rsidP="00FA1267">
      <w:pPr>
        <w:numPr>
          <w:ilvl w:val="1"/>
          <w:numId w:val="209"/>
        </w:numPr>
        <w:spacing w:before="100" w:beforeAutospacing="1" w:after="100" w:afterAutospacing="1"/>
      </w:pPr>
      <w:r w:rsidRPr="003969FC">
        <w:rPr>
          <w:rStyle w:val="Strong"/>
        </w:rPr>
        <w:t>The Practice</w:t>
      </w:r>
      <w:r w:rsidRPr="003969FC">
        <w:t>: Complete quick, focused certifications—often recognized by local communities, professional networks, or online platforms.</w:t>
      </w:r>
    </w:p>
    <w:p w14:paraId="5C9FEDF5" w14:textId="77777777" w:rsidR="00FA1267" w:rsidRPr="003969FC" w:rsidRDefault="00FA1267" w:rsidP="00FA1267">
      <w:pPr>
        <w:numPr>
          <w:ilvl w:val="1"/>
          <w:numId w:val="209"/>
        </w:numPr>
        <w:spacing w:before="100" w:beforeAutospacing="1" w:after="100" w:afterAutospacing="1"/>
      </w:pPr>
      <w:r w:rsidRPr="003969FC">
        <w:rPr>
          <w:rStyle w:val="Strong"/>
        </w:rPr>
        <w:t>Why It Matters</w:t>
      </w:r>
      <w:r w:rsidRPr="003969FC">
        <w:t>: Micro-credentials concretize your achievements. They highlight specific skill sets (e.g., “Intro to AI Ethics,” “Precision Agriculture Basics”), simplifying how you present your qualifications to peers and employers.</w:t>
      </w:r>
    </w:p>
    <w:p w14:paraId="7E78AAAA" w14:textId="77777777" w:rsidR="00FA1267" w:rsidRPr="003969FC" w:rsidRDefault="00FA1267" w:rsidP="00FA1267">
      <w:pPr>
        <w:pStyle w:val="NormalWeb"/>
        <w:numPr>
          <w:ilvl w:val="0"/>
          <w:numId w:val="209"/>
        </w:numPr>
      </w:pPr>
      <w:r w:rsidRPr="003969FC">
        <w:rPr>
          <w:rStyle w:val="Strong"/>
          <w:rFonts w:eastAsiaTheme="majorEastAsia"/>
        </w:rPr>
        <w:t>Engage an AI Mentor XR</w:t>
      </w:r>
    </w:p>
    <w:p w14:paraId="763833B7" w14:textId="77777777" w:rsidR="00FA1267" w:rsidRPr="003969FC" w:rsidRDefault="00FA1267" w:rsidP="00FA1267">
      <w:pPr>
        <w:numPr>
          <w:ilvl w:val="1"/>
          <w:numId w:val="209"/>
        </w:numPr>
        <w:spacing w:before="100" w:beforeAutospacing="1" w:after="100" w:afterAutospacing="1"/>
      </w:pPr>
      <w:r w:rsidRPr="003969FC">
        <w:rPr>
          <w:rStyle w:val="Strong"/>
        </w:rPr>
        <w:t>The Practice</w:t>
      </w:r>
      <w:r w:rsidRPr="003969FC">
        <w:t>: Experiment with a photorealistic, AI-driven mentor that personalizes not just your educational path but also offers emotional check-ins and motivational nudges. Provide feedback to tailor style and difficulty.</w:t>
      </w:r>
    </w:p>
    <w:p w14:paraId="6524EC56" w14:textId="77777777" w:rsidR="00FA1267" w:rsidRPr="003969FC" w:rsidRDefault="00FA1267" w:rsidP="00FA1267">
      <w:pPr>
        <w:numPr>
          <w:ilvl w:val="1"/>
          <w:numId w:val="209"/>
        </w:numPr>
        <w:spacing w:before="100" w:beforeAutospacing="1" w:after="100" w:afterAutospacing="1"/>
      </w:pPr>
      <w:r w:rsidRPr="003969FC">
        <w:rPr>
          <w:rStyle w:val="Strong"/>
        </w:rPr>
        <w:t>Why It Matters</w:t>
      </w:r>
      <w:r w:rsidRPr="003969FC">
        <w:t>: Having a responsive digital companion maintains momentum and banishes the isolation that can stifle self-study. The mentor’s empathetic or adaptive insights keep you on track.</w:t>
      </w:r>
    </w:p>
    <w:p w14:paraId="548B9EFE" w14:textId="77777777" w:rsidR="00FA1267" w:rsidRPr="003969FC" w:rsidRDefault="00FA1267" w:rsidP="00FA1267">
      <w:pPr>
        <w:pStyle w:val="NormalWeb"/>
        <w:numPr>
          <w:ilvl w:val="0"/>
          <w:numId w:val="209"/>
        </w:numPr>
      </w:pPr>
      <w:r w:rsidRPr="003969FC">
        <w:rPr>
          <w:rStyle w:val="Strong"/>
          <w:rFonts w:eastAsiaTheme="majorEastAsia"/>
        </w:rPr>
        <w:t>Form a Small Learning Circle</w:t>
      </w:r>
    </w:p>
    <w:p w14:paraId="0B5F6ADE" w14:textId="77777777" w:rsidR="00FA1267" w:rsidRPr="003969FC" w:rsidRDefault="00FA1267" w:rsidP="00FA1267">
      <w:pPr>
        <w:numPr>
          <w:ilvl w:val="1"/>
          <w:numId w:val="209"/>
        </w:numPr>
        <w:spacing w:before="100" w:beforeAutospacing="1" w:after="100" w:afterAutospacing="1"/>
      </w:pPr>
      <w:r w:rsidRPr="003969FC">
        <w:rPr>
          <w:rStyle w:val="Strong"/>
        </w:rPr>
        <w:t>The Practice</w:t>
      </w:r>
      <w:r w:rsidRPr="003969FC">
        <w:t>: Gather friends, family, or coworkers for short weekly meetups—physical or virtual—where everyone trades bite-sized lessons or skill highlights.</w:t>
      </w:r>
    </w:p>
    <w:p w14:paraId="66936C09" w14:textId="77777777" w:rsidR="00FA1267" w:rsidRPr="003969FC" w:rsidRDefault="00FA1267" w:rsidP="00FA1267">
      <w:pPr>
        <w:numPr>
          <w:ilvl w:val="1"/>
          <w:numId w:val="209"/>
        </w:numPr>
        <w:spacing w:before="100" w:beforeAutospacing="1" w:after="100" w:afterAutospacing="1"/>
      </w:pPr>
      <w:r w:rsidRPr="003969FC">
        <w:rPr>
          <w:rStyle w:val="Strong"/>
        </w:rPr>
        <w:lastRenderedPageBreak/>
        <w:t>Why It Matters</w:t>
      </w:r>
      <w:r w:rsidRPr="003969FC">
        <w:t>: Knowledge grows more robust through community. The group’s mutual support fosters accountability, turning learning from an individual chore into a shared, uplifting experience.</w:t>
      </w:r>
    </w:p>
    <w:p w14:paraId="40A4879C" w14:textId="77777777" w:rsidR="00FA1267" w:rsidRPr="003969FC" w:rsidRDefault="00FA1267" w:rsidP="00FA1267">
      <w:pPr>
        <w:pStyle w:val="NormalWeb"/>
        <w:numPr>
          <w:ilvl w:val="0"/>
          <w:numId w:val="209"/>
        </w:numPr>
      </w:pPr>
      <w:r w:rsidRPr="003969FC">
        <w:rPr>
          <w:rStyle w:val="Strong"/>
          <w:rFonts w:eastAsiaTheme="majorEastAsia"/>
        </w:rPr>
        <w:t>Support Local or Online Incubators</w:t>
      </w:r>
    </w:p>
    <w:p w14:paraId="02F34C8F" w14:textId="77777777" w:rsidR="00FA1267" w:rsidRPr="003969FC" w:rsidRDefault="00FA1267" w:rsidP="00FA1267">
      <w:pPr>
        <w:numPr>
          <w:ilvl w:val="1"/>
          <w:numId w:val="209"/>
        </w:numPr>
        <w:spacing w:before="100" w:beforeAutospacing="1" w:after="100" w:afterAutospacing="1"/>
      </w:pPr>
      <w:r w:rsidRPr="003969FC">
        <w:rPr>
          <w:rStyle w:val="Strong"/>
        </w:rPr>
        <w:t>The Practice</w:t>
      </w:r>
      <w:r w:rsidRPr="003969FC">
        <w:t>: Volunteer at or donate to learning hubs—community centers, libraries, or open-source digital platforms—that focus on re-skilling and tech accessibility.</w:t>
      </w:r>
    </w:p>
    <w:p w14:paraId="4ACCB81B" w14:textId="77777777" w:rsidR="00FA1267" w:rsidRPr="003969FC" w:rsidRDefault="00FA1267" w:rsidP="00FA1267">
      <w:pPr>
        <w:numPr>
          <w:ilvl w:val="1"/>
          <w:numId w:val="209"/>
        </w:numPr>
        <w:spacing w:before="100" w:beforeAutospacing="1" w:after="100" w:afterAutospacing="1"/>
      </w:pPr>
      <w:r w:rsidRPr="003969FC">
        <w:rPr>
          <w:rStyle w:val="Strong"/>
        </w:rPr>
        <w:t>Why It Matters</w:t>
      </w:r>
      <w:r w:rsidRPr="003969FC">
        <w:t>: Your active support ensures broader inclusivity, giving people from all walks of life a chance to explore micro-lessons and advanced modules. A rising tide truly lifts all boats.</w:t>
      </w:r>
    </w:p>
    <w:p w14:paraId="2ABFB975" w14:textId="77777777" w:rsidR="00FA1267" w:rsidRPr="003969FC" w:rsidRDefault="00FA1267" w:rsidP="00FA1267">
      <w:pPr>
        <w:pStyle w:val="NormalWeb"/>
        <w:numPr>
          <w:ilvl w:val="0"/>
          <w:numId w:val="209"/>
        </w:numPr>
      </w:pPr>
      <w:r w:rsidRPr="003969FC">
        <w:rPr>
          <w:rStyle w:val="Strong"/>
          <w:rFonts w:eastAsiaTheme="majorEastAsia"/>
        </w:rPr>
        <w:t>Practice Tech-Fasting</w:t>
      </w:r>
    </w:p>
    <w:p w14:paraId="183A7939" w14:textId="77777777" w:rsidR="00FA1267" w:rsidRPr="003969FC" w:rsidRDefault="00FA1267" w:rsidP="00FA1267">
      <w:pPr>
        <w:numPr>
          <w:ilvl w:val="1"/>
          <w:numId w:val="209"/>
        </w:numPr>
        <w:spacing w:before="100" w:beforeAutospacing="1" w:after="100" w:afterAutospacing="1"/>
      </w:pPr>
      <w:r w:rsidRPr="003969FC">
        <w:rPr>
          <w:rStyle w:val="Strong"/>
        </w:rPr>
        <w:t>The Practice</w:t>
      </w:r>
      <w:r w:rsidRPr="003969FC">
        <w:t>: Schedule short periods—whether hours or entire weekends—without devices, AR overlays, or AI mentor pings. Simply unplug and let your mind settle.</w:t>
      </w:r>
    </w:p>
    <w:p w14:paraId="164950A2" w14:textId="77777777" w:rsidR="00FA1267" w:rsidRPr="003969FC" w:rsidRDefault="00FA1267" w:rsidP="00FA1267">
      <w:pPr>
        <w:numPr>
          <w:ilvl w:val="1"/>
          <w:numId w:val="209"/>
        </w:numPr>
        <w:spacing w:before="100" w:beforeAutospacing="1" w:after="100" w:afterAutospacing="1"/>
      </w:pPr>
      <w:r w:rsidRPr="003969FC">
        <w:rPr>
          <w:rStyle w:val="Strong"/>
        </w:rPr>
        <w:t>Why It Matters</w:t>
      </w:r>
      <w:r w:rsidRPr="003969FC">
        <w:t>: Humans benefit from deliberate offline pauses to consolidate what we’ve learned. The mental clarity gained anchors your growth, preventing burnout and letting creativity re-surface.</w:t>
      </w:r>
    </w:p>
    <w:p w14:paraId="15A710ED" w14:textId="77777777" w:rsidR="00FA1267" w:rsidRPr="003969FC" w:rsidRDefault="00FA1267" w:rsidP="00FA1267">
      <w:pPr>
        <w:pStyle w:val="NormalWeb"/>
        <w:numPr>
          <w:ilvl w:val="0"/>
          <w:numId w:val="209"/>
        </w:numPr>
      </w:pPr>
      <w:r w:rsidRPr="003969FC">
        <w:rPr>
          <w:rStyle w:val="Strong"/>
          <w:rFonts w:eastAsiaTheme="majorEastAsia"/>
        </w:rPr>
        <w:t>Collaborate on a Real-World Project</w:t>
      </w:r>
    </w:p>
    <w:p w14:paraId="4540FECF" w14:textId="77777777" w:rsidR="00FA1267" w:rsidRPr="003969FC" w:rsidRDefault="00FA1267" w:rsidP="00FA1267">
      <w:pPr>
        <w:numPr>
          <w:ilvl w:val="1"/>
          <w:numId w:val="209"/>
        </w:numPr>
        <w:spacing w:before="100" w:beforeAutospacing="1" w:after="100" w:afterAutospacing="1"/>
      </w:pPr>
      <w:r w:rsidRPr="003969FC">
        <w:rPr>
          <w:rStyle w:val="Strong"/>
        </w:rPr>
        <w:t>The Practice</w:t>
      </w:r>
      <w:r w:rsidRPr="003969FC">
        <w:t>: Engage in or initiate a community project—maybe an ecological cleanup, an arts festival, or a local problem-solving initiative—leveraging your fresh skills in a practical context.</w:t>
      </w:r>
    </w:p>
    <w:p w14:paraId="697C1334" w14:textId="77777777" w:rsidR="00FA1267" w:rsidRPr="003969FC" w:rsidRDefault="00FA1267" w:rsidP="00FA1267">
      <w:pPr>
        <w:numPr>
          <w:ilvl w:val="1"/>
          <w:numId w:val="209"/>
        </w:numPr>
        <w:spacing w:before="100" w:beforeAutospacing="1" w:after="100" w:afterAutospacing="1"/>
      </w:pPr>
      <w:r w:rsidRPr="003969FC">
        <w:rPr>
          <w:rStyle w:val="Strong"/>
        </w:rPr>
        <w:t>Why It Matters</w:t>
      </w:r>
      <w:r w:rsidRPr="003969FC">
        <w:t xml:space="preserve">: Real-life application cements the </w:t>
      </w:r>
      <w:r w:rsidRPr="003969FC">
        <w:rPr>
          <w:rStyle w:val="Emphasis"/>
        </w:rPr>
        <w:t>Learn–Train–Perform</w:t>
      </w:r>
      <w:r w:rsidRPr="003969FC">
        <w:t xml:space="preserve"> cycle. You see direct impact, refine your abilities, and inspire others with the benefits of accessible knowledge.</w:t>
      </w:r>
    </w:p>
    <w:p w14:paraId="57F9A115" w14:textId="77777777" w:rsidR="00FA1267" w:rsidRPr="003969FC" w:rsidRDefault="00FA1267" w:rsidP="00FA1267">
      <w:pPr>
        <w:pStyle w:val="NormalWeb"/>
        <w:numPr>
          <w:ilvl w:val="0"/>
          <w:numId w:val="209"/>
        </w:numPr>
      </w:pPr>
      <w:r w:rsidRPr="003969FC">
        <w:rPr>
          <w:rStyle w:val="Strong"/>
          <w:rFonts w:eastAsiaTheme="majorEastAsia"/>
        </w:rPr>
        <w:t>Reflect on Purpose &amp; Values</w:t>
      </w:r>
    </w:p>
    <w:p w14:paraId="1EA591C0" w14:textId="77777777" w:rsidR="00FA1267" w:rsidRPr="003969FC" w:rsidRDefault="00FA1267" w:rsidP="00FA1267">
      <w:pPr>
        <w:numPr>
          <w:ilvl w:val="0"/>
          <w:numId w:val="210"/>
        </w:numPr>
        <w:spacing w:before="100" w:beforeAutospacing="1" w:after="100" w:afterAutospacing="1"/>
      </w:pPr>
      <w:r w:rsidRPr="003969FC">
        <w:rPr>
          <w:rStyle w:val="Strong"/>
        </w:rPr>
        <w:t>The Practice</w:t>
      </w:r>
      <w:r w:rsidRPr="003969FC">
        <w:t>: Periodically speak with your AI mentor (or host a guided self-reflection) about deeper motivations—life goals, moral standpoints, emotional well-being.</w:t>
      </w:r>
    </w:p>
    <w:p w14:paraId="50D53489" w14:textId="77777777" w:rsidR="00FA1267" w:rsidRPr="003969FC" w:rsidRDefault="00FA1267" w:rsidP="00FA1267">
      <w:pPr>
        <w:numPr>
          <w:ilvl w:val="0"/>
          <w:numId w:val="210"/>
        </w:numPr>
        <w:spacing w:before="100" w:beforeAutospacing="1" w:after="100" w:afterAutospacing="1"/>
      </w:pPr>
      <w:r w:rsidRPr="003969FC">
        <w:rPr>
          <w:rStyle w:val="Strong"/>
        </w:rPr>
        <w:t>Why It Matters</w:t>
      </w:r>
      <w:r w:rsidRPr="003969FC">
        <w:t xml:space="preserve">: Knowledge in isolation can be hollow; aligning skill growth with personal principles and broader aspirations keeps you grounded, ensuring that “Human 2.0” is about </w:t>
      </w:r>
      <w:r w:rsidRPr="003969FC">
        <w:rPr>
          <w:rStyle w:val="Emphasis"/>
        </w:rPr>
        <w:t>fulfillment</w:t>
      </w:r>
      <w:r w:rsidRPr="003969FC">
        <w:t>, not just novelty.</w:t>
      </w:r>
    </w:p>
    <w:p w14:paraId="1E4D580B" w14:textId="77777777" w:rsidR="00FA1267" w:rsidRPr="003969FC" w:rsidRDefault="0034147F" w:rsidP="00FA1267">
      <w:r>
        <w:rPr>
          <w:noProof/>
        </w:rPr>
        <w:pict w14:anchorId="147842B6">
          <v:rect id="_x0000_i1028" alt="" style="width:468pt;height:.05pt;mso-width-percent:0;mso-height-percent:0;mso-width-percent:0;mso-height-percent:0" o:hralign="center" o:hrstd="t" o:hr="t" fillcolor="#a0a0a0" stroked="f"/>
        </w:pict>
      </w:r>
    </w:p>
    <w:p w14:paraId="18376388" w14:textId="77777777" w:rsidR="00FA1267" w:rsidRPr="003969FC" w:rsidRDefault="00FA1267" w:rsidP="00FA1267">
      <w:pPr>
        <w:pStyle w:val="NormalWeb"/>
      </w:pPr>
      <w:r w:rsidRPr="003969FC">
        <w:rPr>
          <w:rStyle w:val="Strong"/>
          <w:rFonts w:eastAsiaTheme="majorEastAsia"/>
        </w:rPr>
        <w:t>Why These Steps Matter Overall</w:t>
      </w:r>
      <w:r w:rsidRPr="003969FC">
        <w:br/>
        <w:t xml:space="preserve">These ten steps transform learning from a chore into an everyday adventure, uniting family, community, and technology along the way. Their cumulative power also maps to the </w:t>
      </w:r>
      <w:r w:rsidRPr="003969FC">
        <w:rPr>
          <w:rStyle w:val="Strong"/>
          <w:rFonts w:eastAsiaTheme="majorEastAsia"/>
        </w:rPr>
        <w:t>Human 2.0</w:t>
      </w:r>
      <w:r w:rsidRPr="003969FC">
        <w:t xml:space="preserve"> vision—a future where each of us can continuously re-skill, connect meaningfully, and chase new frontiers without fear. By blending micro-learning, emotional mentorship, and moral introspection, we anchor technology’s benefits within a framework of empathy, curiosity, and shared purpose.</w:t>
      </w:r>
    </w:p>
    <w:p w14:paraId="19D2324A" w14:textId="77777777" w:rsidR="00FA1267" w:rsidRPr="003969FC" w:rsidRDefault="00FA1267" w:rsidP="00FA1267">
      <w:pPr>
        <w:pStyle w:val="Heading2"/>
      </w:pPr>
      <w:bookmarkStart w:id="24" w:name="_Toc186353816"/>
      <w:bookmarkStart w:id="25" w:name="_Toc186356455"/>
      <w:r w:rsidRPr="003969FC">
        <w:lastRenderedPageBreak/>
        <w:t>Part VI: The Ten Principles for Knowledge as a Human Right</w:t>
      </w:r>
      <w:bookmarkEnd w:id="24"/>
      <w:bookmarkEnd w:id="25"/>
    </w:p>
    <w:p w14:paraId="3F186ECD" w14:textId="77777777" w:rsidR="00FA1267" w:rsidRPr="003969FC" w:rsidRDefault="0034147F" w:rsidP="00FA1267">
      <w:r>
        <w:rPr>
          <w:noProof/>
        </w:rPr>
        <w:pict w14:anchorId="0137DAB9">
          <v:rect id="_x0000_i1027" alt="" style="width:468pt;height:.05pt;mso-width-percent:0;mso-height-percent:0;mso-width-percent:0;mso-height-percent:0" o:hralign="center" o:hrstd="t" o:hr="t" fillcolor="#a0a0a0" stroked="f"/>
        </w:pict>
      </w:r>
    </w:p>
    <w:p w14:paraId="275F7355" w14:textId="77777777" w:rsidR="00FA1267" w:rsidRPr="003969FC" w:rsidRDefault="00FA1267" w:rsidP="00FA1267">
      <w:pPr>
        <w:pStyle w:val="NormalWeb"/>
        <w:numPr>
          <w:ilvl w:val="0"/>
          <w:numId w:val="211"/>
        </w:numPr>
      </w:pPr>
      <w:r w:rsidRPr="003969FC">
        <w:rPr>
          <w:rStyle w:val="Strong"/>
          <w:rFonts w:eastAsiaTheme="majorEastAsia"/>
        </w:rPr>
        <w:t>Foster Universal Access</w:t>
      </w:r>
    </w:p>
    <w:p w14:paraId="13D85AF3" w14:textId="77777777" w:rsidR="00FA1267" w:rsidRPr="003969FC" w:rsidRDefault="00FA1267" w:rsidP="00FA1267">
      <w:pPr>
        <w:numPr>
          <w:ilvl w:val="1"/>
          <w:numId w:val="211"/>
        </w:numPr>
        <w:spacing w:before="100" w:beforeAutospacing="1" w:after="100" w:afterAutospacing="1"/>
      </w:pPr>
      <w:r w:rsidRPr="003969FC">
        <w:rPr>
          <w:rStyle w:val="Strong"/>
        </w:rPr>
        <w:t>Essence</w:t>
      </w:r>
      <w:r w:rsidRPr="003969FC">
        <w:t>: Advocate that learning tools and resources remain open, affordable, and unrestricted by wealth or location.</w:t>
      </w:r>
    </w:p>
    <w:p w14:paraId="6E25D24C" w14:textId="77777777" w:rsidR="00FA1267" w:rsidRPr="003969FC" w:rsidRDefault="00FA1267" w:rsidP="00FA1267">
      <w:pPr>
        <w:numPr>
          <w:ilvl w:val="1"/>
          <w:numId w:val="211"/>
        </w:numPr>
        <w:spacing w:before="100" w:beforeAutospacing="1" w:after="100" w:afterAutospacing="1"/>
      </w:pPr>
      <w:r w:rsidRPr="003969FC">
        <w:rPr>
          <w:rStyle w:val="Strong"/>
        </w:rPr>
        <w:t>Why It Matters</w:t>
      </w:r>
      <w:r w:rsidRPr="003969FC">
        <w:t>: True progress arises when every person, from a remote island villager to an urban teen, can tap into global knowledge. Removing financial and geographic barriers ensures that curiosity knows no walls.</w:t>
      </w:r>
    </w:p>
    <w:p w14:paraId="3C01AC63" w14:textId="77777777" w:rsidR="00FA1267" w:rsidRPr="003969FC" w:rsidRDefault="00FA1267" w:rsidP="00FA1267">
      <w:pPr>
        <w:pStyle w:val="NormalWeb"/>
        <w:numPr>
          <w:ilvl w:val="0"/>
          <w:numId w:val="211"/>
        </w:numPr>
      </w:pPr>
      <w:r w:rsidRPr="003969FC">
        <w:rPr>
          <w:rStyle w:val="Strong"/>
          <w:rFonts w:eastAsiaTheme="majorEastAsia"/>
        </w:rPr>
        <w:t>Champion Empathy in Technology</w:t>
      </w:r>
    </w:p>
    <w:p w14:paraId="273F38B2" w14:textId="77777777" w:rsidR="00FA1267" w:rsidRPr="003969FC" w:rsidRDefault="00FA1267" w:rsidP="00FA1267">
      <w:pPr>
        <w:numPr>
          <w:ilvl w:val="1"/>
          <w:numId w:val="211"/>
        </w:numPr>
        <w:spacing w:before="100" w:beforeAutospacing="1" w:after="100" w:afterAutospacing="1"/>
      </w:pPr>
      <w:r w:rsidRPr="003969FC">
        <w:rPr>
          <w:rStyle w:val="Strong"/>
        </w:rPr>
        <w:t>Essence</w:t>
      </w:r>
      <w:r w:rsidRPr="003969FC">
        <w:t>: Encourage AI systems to adapt ethically and sensitively, respecting diverse emotional states and cultural nuances.</w:t>
      </w:r>
    </w:p>
    <w:p w14:paraId="3F6EB944" w14:textId="77777777" w:rsidR="00FA1267" w:rsidRPr="003969FC" w:rsidRDefault="00FA1267" w:rsidP="00FA1267">
      <w:pPr>
        <w:numPr>
          <w:ilvl w:val="1"/>
          <w:numId w:val="211"/>
        </w:numPr>
        <w:spacing w:before="100" w:beforeAutospacing="1" w:after="100" w:afterAutospacing="1"/>
      </w:pPr>
      <w:r w:rsidRPr="003969FC">
        <w:rPr>
          <w:rStyle w:val="Strong"/>
        </w:rPr>
        <w:t>Why It Matters</w:t>
      </w:r>
      <w:r w:rsidRPr="003969FC">
        <w:t>: A purely utilitarian approach to AI can overlook human needs. By integrating empathy, technology becomes a genuine ally, nurturing respect and inclusivity in every lesson, task, or conversation.</w:t>
      </w:r>
    </w:p>
    <w:p w14:paraId="15C62CD0" w14:textId="77777777" w:rsidR="00FA1267" w:rsidRPr="003969FC" w:rsidRDefault="00FA1267" w:rsidP="00FA1267">
      <w:pPr>
        <w:pStyle w:val="NormalWeb"/>
        <w:numPr>
          <w:ilvl w:val="0"/>
          <w:numId w:val="211"/>
        </w:numPr>
      </w:pPr>
      <w:r w:rsidRPr="003969FC">
        <w:rPr>
          <w:rStyle w:val="Strong"/>
          <w:rFonts w:eastAsiaTheme="majorEastAsia"/>
        </w:rPr>
        <w:t>Never Hoard Knowledge</w:t>
      </w:r>
    </w:p>
    <w:p w14:paraId="6EB1E97F" w14:textId="77777777" w:rsidR="00FA1267" w:rsidRPr="003969FC" w:rsidRDefault="00FA1267" w:rsidP="00FA1267">
      <w:pPr>
        <w:numPr>
          <w:ilvl w:val="1"/>
          <w:numId w:val="211"/>
        </w:numPr>
        <w:spacing w:before="100" w:beforeAutospacing="1" w:after="100" w:afterAutospacing="1"/>
      </w:pPr>
      <w:r w:rsidRPr="003969FC">
        <w:rPr>
          <w:rStyle w:val="Strong"/>
        </w:rPr>
        <w:t>Essence</w:t>
      </w:r>
      <w:r w:rsidRPr="003969FC">
        <w:t>: Freely share insights and innovations; wherever possible, release modules and content under open licenses.</w:t>
      </w:r>
    </w:p>
    <w:p w14:paraId="3A57A758" w14:textId="77777777" w:rsidR="00FA1267" w:rsidRPr="003969FC" w:rsidRDefault="00FA1267" w:rsidP="00FA1267">
      <w:pPr>
        <w:numPr>
          <w:ilvl w:val="1"/>
          <w:numId w:val="211"/>
        </w:numPr>
        <w:spacing w:before="100" w:beforeAutospacing="1" w:after="100" w:afterAutospacing="1"/>
      </w:pPr>
      <w:r w:rsidRPr="003969FC">
        <w:rPr>
          <w:rStyle w:val="Strong"/>
        </w:rPr>
        <w:t>Why It Matters</w:t>
      </w:r>
      <w:r w:rsidRPr="003969FC">
        <w:t>: When knowledge circulates without artificial barriers, communities blossom. Open-sourcing breakthroughs prevents talent from languishing, transforming local gains into global boons.</w:t>
      </w:r>
    </w:p>
    <w:p w14:paraId="4FBBBEB3" w14:textId="77777777" w:rsidR="00FA1267" w:rsidRPr="003969FC" w:rsidRDefault="00FA1267" w:rsidP="00FA1267">
      <w:pPr>
        <w:pStyle w:val="NormalWeb"/>
        <w:numPr>
          <w:ilvl w:val="0"/>
          <w:numId w:val="211"/>
        </w:numPr>
      </w:pPr>
      <w:r w:rsidRPr="003969FC">
        <w:rPr>
          <w:rStyle w:val="Strong"/>
          <w:rFonts w:eastAsiaTheme="majorEastAsia"/>
        </w:rPr>
        <w:t>Balance Tech with Reflection</w:t>
      </w:r>
    </w:p>
    <w:p w14:paraId="708FA9CC" w14:textId="77777777" w:rsidR="00FA1267" w:rsidRPr="003969FC" w:rsidRDefault="00FA1267" w:rsidP="00FA1267">
      <w:pPr>
        <w:numPr>
          <w:ilvl w:val="1"/>
          <w:numId w:val="211"/>
        </w:numPr>
        <w:spacing w:before="100" w:beforeAutospacing="1" w:after="100" w:afterAutospacing="1"/>
      </w:pPr>
      <w:r w:rsidRPr="003969FC">
        <w:rPr>
          <w:rStyle w:val="Strong"/>
        </w:rPr>
        <w:t>Essence</w:t>
      </w:r>
      <w:r w:rsidRPr="003969FC">
        <w:t>: Embrace continuous learning while reserving mindful spaces—brief digital fasts or mental retreats—to let insights mature.</w:t>
      </w:r>
    </w:p>
    <w:p w14:paraId="5271EFF8" w14:textId="77777777" w:rsidR="00FA1267" w:rsidRPr="003969FC" w:rsidRDefault="00FA1267" w:rsidP="00FA1267">
      <w:pPr>
        <w:numPr>
          <w:ilvl w:val="1"/>
          <w:numId w:val="211"/>
        </w:numPr>
        <w:spacing w:before="100" w:beforeAutospacing="1" w:after="100" w:afterAutospacing="1"/>
      </w:pPr>
      <w:r w:rsidRPr="003969FC">
        <w:rPr>
          <w:rStyle w:val="Strong"/>
        </w:rPr>
        <w:t>Why It Matters</w:t>
      </w:r>
      <w:r w:rsidRPr="003969FC">
        <w:t>: Constant immersion in new content can overwhelm. Scheduled moments of calm give the mind space to consolidate growth, maintain mental health, and foster deeper creativity.</w:t>
      </w:r>
    </w:p>
    <w:p w14:paraId="780FD67B" w14:textId="77777777" w:rsidR="00FA1267" w:rsidRPr="003969FC" w:rsidRDefault="00FA1267" w:rsidP="00FA1267">
      <w:pPr>
        <w:pStyle w:val="NormalWeb"/>
        <w:numPr>
          <w:ilvl w:val="0"/>
          <w:numId w:val="211"/>
        </w:numPr>
      </w:pPr>
      <w:r w:rsidRPr="003969FC">
        <w:rPr>
          <w:rStyle w:val="Strong"/>
          <w:rFonts w:eastAsiaTheme="majorEastAsia"/>
        </w:rPr>
        <w:t>Nurture Curiosity Across All Ages</w:t>
      </w:r>
    </w:p>
    <w:p w14:paraId="12A42146" w14:textId="77777777" w:rsidR="00FA1267" w:rsidRPr="003969FC" w:rsidRDefault="00FA1267" w:rsidP="00FA1267">
      <w:pPr>
        <w:numPr>
          <w:ilvl w:val="1"/>
          <w:numId w:val="211"/>
        </w:numPr>
        <w:spacing w:before="100" w:beforeAutospacing="1" w:after="100" w:afterAutospacing="1"/>
      </w:pPr>
      <w:r w:rsidRPr="003969FC">
        <w:rPr>
          <w:rStyle w:val="Strong"/>
        </w:rPr>
        <w:t>Essence</w:t>
      </w:r>
      <w:r w:rsidRPr="003969FC">
        <w:t>: Support the elder seeking new languages, the mid-career professional pivoting, and the child exploring boundless wonders.</w:t>
      </w:r>
    </w:p>
    <w:p w14:paraId="3D9D462F" w14:textId="77777777" w:rsidR="00FA1267" w:rsidRPr="003969FC" w:rsidRDefault="00FA1267" w:rsidP="00FA1267">
      <w:pPr>
        <w:numPr>
          <w:ilvl w:val="1"/>
          <w:numId w:val="211"/>
        </w:numPr>
        <w:spacing w:before="100" w:beforeAutospacing="1" w:after="100" w:afterAutospacing="1"/>
      </w:pPr>
      <w:r w:rsidRPr="003969FC">
        <w:rPr>
          <w:rStyle w:val="Strong"/>
        </w:rPr>
        <w:t>Why It Matters</w:t>
      </w:r>
      <w:r w:rsidRPr="003969FC">
        <w:t>: Curiosity doesn’t vanish at 18 or 65. Lifelong exploration prevents stagnation, unites generations, and ensures everyone remains a vibrant contributor.</w:t>
      </w:r>
    </w:p>
    <w:p w14:paraId="559A450D" w14:textId="77777777" w:rsidR="00FA1267" w:rsidRPr="003969FC" w:rsidRDefault="00FA1267" w:rsidP="00FA1267">
      <w:pPr>
        <w:pStyle w:val="NormalWeb"/>
        <w:numPr>
          <w:ilvl w:val="0"/>
          <w:numId w:val="211"/>
        </w:numPr>
      </w:pPr>
      <w:r w:rsidRPr="003969FC">
        <w:rPr>
          <w:rStyle w:val="Strong"/>
          <w:rFonts w:eastAsiaTheme="majorEastAsia"/>
        </w:rPr>
        <w:t>Elevate Ethical &amp; Inclusive AI</w:t>
      </w:r>
    </w:p>
    <w:p w14:paraId="1A57E49C" w14:textId="77777777" w:rsidR="00FA1267" w:rsidRPr="003969FC" w:rsidRDefault="00FA1267" w:rsidP="00FA1267">
      <w:pPr>
        <w:numPr>
          <w:ilvl w:val="1"/>
          <w:numId w:val="211"/>
        </w:numPr>
        <w:spacing w:before="100" w:beforeAutospacing="1" w:after="100" w:afterAutospacing="1"/>
      </w:pPr>
      <w:r w:rsidRPr="003969FC">
        <w:rPr>
          <w:rStyle w:val="Strong"/>
        </w:rPr>
        <w:t>Essence</w:t>
      </w:r>
      <w:r w:rsidRPr="003969FC">
        <w:t>: Demand transparency, fairness, and robust data protection in knowledge systems.</w:t>
      </w:r>
    </w:p>
    <w:p w14:paraId="38E9E2D4" w14:textId="77777777" w:rsidR="00FA1267" w:rsidRPr="003969FC" w:rsidRDefault="00FA1267" w:rsidP="00FA1267">
      <w:pPr>
        <w:numPr>
          <w:ilvl w:val="1"/>
          <w:numId w:val="211"/>
        </w:numPr>
        <w:spacing w:before="100" w:beforeAutospacing="1" w:after="100" w:afterAutospacing="1"/>
      </w:pPr>
      <w:r w:rsidRPr="003969FC">
        <w:rPr>
          <w:rStyle w:val="Strong"/>
        </w:rPr>
        <w:t>Why It Matters</w:t>
      </w:r>
      <w:r w:rsidRPr="003969FC">
        <w:t>: AI mentors can profoundly shape thoughts and decisions. Making them accountable, respectful of privacy, and culturally aware safeguards dignity and prevents harmful biases.</w:t>
      </w:r>
    </w:p>
    <w:p w14:paraId="7FAFB4A8" w14:textId="77777777" w:rsidR="00FA1267" w:rsidRPr="003969FC" w:rsidRDefault="00FA1267" w:rsidP="00FA1267">
      <w:pPr>
        <w:pStyle w:val="NormalWeb"/>
        <w:numPr>
          <w:ilvl w:val="0"/>
          <w:numId w:val="211"/>
        </w:numPr>
      </w:pPr>
      <w:r w:rsidRPr="003969FC">
        <w:rPr>
          <w:rStyle w:val="Strong"/>
          <w:rFonts w:eastAsiaTheme="majorEastAsia"/>
        </w:rPr>
        <w:t>Celebrate Collective Achievements</w:t>
      </w:r>
    </w:p>
    <w:p w14:paraId="12B2827A" w14:textId="77777777" w:rsidR="00FA1267" w:rsidRPr="003969FC" w:rsidRDefault="00FA1267" w:rsidP="00FA1267">
      <w:pPr>
        <w:numPr>
          <w:ilvl w:val="1"/>
          <w:numId w:val="211"/>
        </w:numPr>
        <w:spacing w:before="100" w:beforeAutospacing="1" w:after="100" w:afterAutospacing="1"/>
      </w:pPr>
      <w:r w:rsidRPr="003969FC">
        <w:rPr>
          <w:rStyle w:val="Strong"/>
        </w:rPr>
        <w:t>Essence</w:t>
      </w:r>
      <w:r w:rsidRPr="003969FC">
        <w:t>: Publicly recognize skill acquisitions, project successes, or community improvements—fostering shared pride and motivation.</w:t>
      </w:r>
    </w:p>
    <w:p w14:paraId="654435F2" w14:textId="77777777" w:rsidR="00FA1267" w:rsidRPr="003969FC" w:rsidRDefault="00FA1267" w:rsidP="00FA1267">
      <w:pPr>
        <w:numPr>
          <w:ilvl w:val="1"/>
          <w:numId w:val="211"/>
        </w:numPr>
        <w:spacing w:before="100" w:beforeAutospacing="1" w:after="100" w:afterAutospacing="1"/>
      </w:pPr>
      <w:r w:rsidRPr="003969FC">
        <w:rPr>
          <w:rStyle w:val="Strong"/>
        </w:rPr>
        <w:lastRenderedPageBreak/>
        <w:t>Why It Matters</w:t>
      </w:r>
      <w:r w:rsidRPr="003969FC">
        <w:t>: Applauding each other’s milestones weaves positivity into the movement’s fabric. People feel seen, valued, and inspired to further contribute and collaborate.</w:t>
      </w:r>
    </w:p>
    <w:p w14:paraId="04D66487" w14:textId="77777777" w:rsidR="00FA1267" w:rsidRPr="003969FC" w:rsidRDefault="00FA1267" w:rsidP="00FA1267">
      <w:pPr>
        <w:pStyle w:val="NormalWeb"/>
        <w:numPr>
          <w:ilvl w:val="0"/>
          <w:numId w:val="211"/>
        </w:numPr>
      </w:pPr>
      <w:r w:rsidRPr="003969FC">
        <w:rPr>
          <w:rStyle w:val="Strong"/>
          <w:rFonts w:eastAsiaTheme="majorEastAsia"/>
        </w:rPr>
        <w:t>Seek Practical Application</w:t>
      </w:r>
    </w:p>
    <w:p w14:paraId="2FDB39D4" w14:textId="77777777" w:rsidR="00FA1267" w:rsidRPr="003969FC" w:rsidRDefault="00FA1267" w:rsidP="00FA1267">
      <w:pPr>
        <w:numPr>
          <w:ilvl w:val="1"/>
          <w:numId w:val="211"/>
        </w:numPr>
        <w:spacing w:before="100" w:beforeAutospacing="1" w:after="100" w:afterAutospacing="1"/>
      </w:pPr>
      <w:r w:rsidRPr="003969FC">
        <w:rPr>
          <w:rStyle w:val="Strong"/>
        </w:rPr>
        <w:t>Essence</w:t>
      </w:r>
      <w:r w:rsidRPr="003969FC">
        <w:t>: Translate acquired knowledge into real-world endeavors—local projects, civic duties, or creative undertakings that benefit others.</w:t>
      </w:r>
    </w:p>
    <w:p w14:paraId="084648FE" w14:textId="77777777" w:rsidR="00FA1267" w:rsidRPr="003969FC" w:rsidRDefault="00FA1267" w:rsidP="00FA1267">
      <w:pPr>
        <w:numPr>
          <w:ilvl w:val="1"/>
          <w:numId w:val="211"/>
        </w:numPr>
        <w:spacing w:before="100" w:beforeAutospacing="1" w:after="100" w:afterAutospacing="1"/>
      </w:pPr>
      <w:r w:rsidRPr="003969FC">
        <w:rPr>
          <w:rStyle w:val="Strong"/>
        </w:rPr>
        <w:t>Why It Matters</w:t>
      </w:r>
      <w:r w:rsidRPr="003969FC">
        <w:t>: Knowledge without action risks becoming purely theoretical. Tangible outcomes affirm the social and personal impact of learning, cementing its meaning.</w:t>
      </w:r>
    </w:p>
    <w:p w14:paraId="0B6AFCFC" w14:textId="77777777" w:rsidR="00FA1267" w:rsidRPr="003969FC" w:rsidRDefault="00FA1267" w:rsidP="00FA1267">
      <w:pPr>
        <w:pStyle w:val="NormalWeb"/>
        <w:numPr>
          <w:ilvl w:val="0"/>
          <w:numId w:val="211"/>
        </w:numPr>
      </w:pPr>
      <w:r w:rsidRPr="003969FC">
        <w:rPr>
          <w:rStyle w:val="Strong"/>
          <w:rFonts w:eastAsiaTheme="majorEastAsia"/>
        </w:rPr>
        <w:t>Uplift Others as You Grow</w:t>
      </w:r>
    </w:p>
    <w:p w14:paraId="227818AE" w14:textId="77777777" w:rsidR="00FA1267" w:rsidRPr="003969FC" w:rsidRDefault="00FA1267" w:rsidP="00FA1267">
      <w:pPr>
        <w:numPr>
          <w:ilvl w:val="1"/>
          <w:numId w:val="211"/>
        </w:numPr>
        <w:spacing w:before="100" w:beforeAutospacing="1" w:after="100" w:afterAutospacing="1"/>
      </w:pPr>
      <w:r w:rsidRPr="003969FC">
        <w:rPr>
          <w:rStyle w:val="Strong"/>
        </w:rPr>
        <w:t>Essence</w:t>
      </w:r>
      <w:r w:rsidRPr="003969FC">
        <w:t>: Honor the “pay it forward” ethic; whenever you gain a skill, mentor or aid another learner.</w:t>
      </w:r>
    </w:p>
    <w:p w14:paraId="74578979" w14:textId="77777777" w:rsidR="00FA1267" w:rsidRPr="003969FC" w:rsidRDefault="00FA1267" w:rsidP="00FA1267">
      <w:pPr>
        <w:numPr>
          <w:ilvl w:val="1"/>
          <w:numId w:val="211"/>
        </w:numPr>
        <w:spacing w:before="100" w:beforeAutospacing="1" w:after="100" w:afterAutospacing="1"/>
      </w:pPr>
      <w:r w:rsidRPr="003969FC">
        <w:rPr>
          <w:rStyle w:val="Strong"/>
        </w:rPr>
        <w:t>Why It Matters</w:t>
      </w:r>
      <w:r w:rsidRPr="003969FC">
        <w:t>: Shared growth undercuts competition-driven mindsets, forging networks of mutual empowerment. Each person’s advancement paves the way for countless more.</w:t>
      </w:r>
    </w:p>
    <w:p w14:paraId="5D41E4FC" w14:textId="77777777" w:rsidR="00FA1267" w:rsidRPr="003969FC" w:rsidRDefault="00FA1267" w:rsidP="00FA1267">
      <w:pPr>
        <w:pStyle w:val="NormalWeb"/>
        <w:numPr>
          <w:ilvl w:val="0"/>
          <w:numId w:val="211"/>
        </w:numPr>
      </w:pPr>
      <w:r w:rsidRPr="003969FC">
        <w:rPr>
          <w:rStyle w:val="Strong"/>
          <w:rFonts w:eastAsiaTheme="majorEastAsia"/>
        </w:rPr>
        <w:t>Stay Open to Evolution</w:t>
      </w:r>
    </w:p>
    <w:p w14:paraId="43FA8551" w14:textId="77777777" w:rsidR="00FA1267" w:rsidRPr="003969FC" w:rsidRDefault="00FA1267" w:rsidP="00FA1267">
      <w:pPr>
        <w:numPr>
          <w:ilvl w:val="0"/>
          <w:numId w:val="212"/>
        </w:numPr>
        <w:spacing w:before="100" w:beforeAutospacing="1" w:after="100" w:afterAutospacing="1"/>
      </w:pPr>
      <w:r w:rsidRPr="003969FC">
        <w:rPr>
          <w:rStyle w:val="Strong"/>
        </w:rPr>
        <w:t>Essence</w:t>
      </w:r>
      <w:r w:rsidRPr="003969FC">
        <w:t>: Regard “Human 2.0” not as a static end goal but as a dynamic frontier of lifelong adaptation and shared discovery.</w:t>
      </w:r>
    </w:p>
    <w:p w14:paraId="7CD9523C" w14:textId="77777777" w:rsidR="00FA1267" w:rsidRPr="003969FC" w:rsidRDefault="00FA1267" w:rsidP="00FA1267">
      <w:pPr>
        <w:numPr>
          <w:ilvl w:val="0"/>
          <w:numId w:val="212"/>
        </w:numPr>
        <w:spacing w:before="100" w:beforeAutospacing="1" w:after="100" w:afterAutospacing="1"/>
      </w:pPr>
      <w:r w:rsidRPr="003969FC">
        <w:rPr>
          <w:rStyle w:val="Strong"/>
        </w:rPr>
        <w:t>Why It Matters</w:t>
      </w:r>
      <w:r w:rsidRPr="003969FC">
        <w:t>: Technology and society will keep evolving. Keeping a flexible, curious spirit ensures that every new wave—be it an AI breakthrough or a cultural shift—becomes an opportunity for collective progress rather than division.</w:t>
      </w:r>
    </w:p>
    <w:p w14:paraId="3834B186" w14:textId="77777777" w:rsidR="00FA1267" w:rsidRPr="003969FC" w:rsidRDefault="0034147F" w:rsidP="00FA1267">
      <w:r>
        <w:rPr>
          <w:noProof/>
        </w:rPr>
        <w:pict w14:anchorId="4DE445AE">
          <v:rect id="_x0000_i1026" alt="" style="width:468pt;height:.05pt;mso-width-percent:0;mso-height-percent:0;mso-width-percent:0;mso-height-percent:0" o:hralign="center" o:hrstd="t" o:hr="t" fillcolor="#a0a0a0" stroked="f"/>
        </w:pict>
      </w:r>
    </w:p>
    <w:p w14:paraId="588B208B" w14:textId="77777777" w:rsidR="00FA1267" w:rsidRPr="003969FC" w:rsidRDefault="00FA1267" w:rsidP="00FA1267">
      <w:pPr>
        <w:pStyle w:val="NormalWeb"/>
      </w:pPr>
      <w:r w:rsidRPr="003969FC">
        <w:t xml:space="preserve">These </w:t>
      </w:r>
      <w:r w:rsidRPr="003969FC">
        <w:rPr>
          <w:rStyle w:val="Strong"/>
          <w:rFonts w:eastAsiaTheme="majorEastAsia"/>
        </w:rPr>
        <w:t>Ten Principles</w:t>
      </w:r>
      <w:r w:rsidRPr="003969FC">
        <w:t xml:space="preserve"> stand at the heart of a global movement that treats knowledge not just as an academic pursuit but a moral imperative—fuel for personal purpose and social transformation. By weaving empathy, openness, collaboration, and continuous growth into everything we do, we affirm that human potential expands best when no one is left behind, and when every learner feels both empowered and responsible for the world we share.</w:t>
      </w:r>
    </w:p>
    <w:p w14:paraId="47FF00D5" w14:textId="77777777" w:rsidR="00FA1267" w:rsidRPr="003969FC" w:rsidRDefault="00FA1267" w:rsidP="00FA1267">
      <w:pPr>
        <w:pStyle w:val="Heading2"/>
      </w:pPr>
      <w:bookmarkStart w:id="26" w:name="_Toc186353817"/>
      <w:bookmarkStart w:id="27" w:name="_Toc186356456"/>
      <w:r w:rsidRPr="003969FC">
        <w:t>Epilogue: A Boundless Horizon</w:t>
      </w:r>
      <w:bookmarkEnd w:id="26"/>
      <w:bookmarkEnd w:id="27"/>
    </w:p>
    <w:p w14:paraId="1CCFC55F" w14:textId="77777777" w:rsidR="00FA1267" w:rsidRPr="003969FC" w:rsidRDefault="0034147F" w:rsidP="00FA1267">
      <w:r>
        <w:rPr>
          <w:noProof/>
        </w:rPr>
        <w:pict w14:anchorId="6B0A5931">
          <v:rect id="_x0000_i1025" alt="" style="width:468pt;height:.05pt;mso-width-percent:0;mso-height-percent:0;mso-width-percent:0;mso-height-percent:0" o:hralign="center" o:hrstd="t" o:hr="t" fillcolor="#a0a0a0" stroked="f"/>
        </w:pict>
      </w:r>
    </w:p>
    <w:p w14:paraId="69D386C1" w14:textId="77777777" w:rsidR="00FA1267" w:rsidRPr="003969FC" w:rsidRDefault="00FA1267" w:rsidP="00FA1267">
      <w:pPr>
        <w:pStyle w:val="Heading3"/>
      </w:pPr>
      <w:bookmarkStart w:id="28" w:name="_Toc186353818"/>
      <w:bookmarkStart w:id="29" w:name="_Toc186356457"/>
      <w:r w:rsidRPr="003969FC">
        <w:t>From Smartphones to Mindful Synergy</w:t>
      </w:r>
      <w:bookmarkEnd w:id="28"/>
      <w:bookmarkEnd w:id="29"/>
    </w:p>
    <w:p w14:paraId="72E5919F" w14:textId="77777777" w:rsidR="00FA1267" w:rsidRPr="003969FC" w:rsidRDefault="00FA1267" w:rsidP="00FA1267">
      <w:pPr>
        <w:pStyle w:val="NormalWeb"/>
      </w:pPr>
      <w:r w:rsidRPr="003969FC">
        <w:t xml:space="preserve">Reflect on the astonishing brevity of a single generation: the time it took to transform smartphones from mere novelties to essential life tools, and then to watch those same phones yield center stage to </w:t>
      </w:r>
      <w:r w:rsidRPr="003969FC">
        <w:rPr>
          <w:rStyle w:val="Strong"/>
          <w:rFonts w:eastAsiaTheme="majorEastAsia"/>
        </w:rPr>
        <w:t>empathic AI mentors</w:t>
      </w:r>
      <w:r w:rsidRPr="003969FC">
        <w:t xml:space="preserve"> and </w:t>
      </w:r>
      <w:r w:rsidRPr="003969FC">
        <w:rPr>
          <w:rStyle w:val="Strong"/>
          <w:rFonts w:eastAsiaTheme="majorEastAsia"/>
        </w:rPr>
        <w:t>extended reality</w:t>
      </w:r>
      <w:r w:rsidRPr="003969FC">
        <w:t xml:space="preserve">. In that quickening arc, we’ve seen entire cultures pivot from static screens to immersive, interactive, and adaptive forms of learning. Yet, for all its dazzling sheen, the deeper lesson is more profound: </w:t>
      </w:r>
      <w:r w:rsidRPr="003969FC">
        <w:rPr>
          <w:rStyle w:val="Strong"/>
          <w:rFonts w:eastAsiaTheme="majorEastAsia"/>
        </w:rPr>
        <w:t>knowledge isn’t just a resource; it’s everyone’s birthright.</w:t>
      </w:r>
    </w:p>
    <w:p w14:paraId="6C107619" w14:textId="77777777" w:rsidR="00FA1267" w:rsidRPr="003969FC" w:rsidRDefault="00FA1267" w:rsidP="00FA1267">
      <w:pPr>
        <w:pStyle w:val="NormalWeb"/>
      </w:pPr>
      <w:r w:rsidRPr="003969FC">
        <w:t xml:space="preserve">Today’s “mindful synergy” emerges from once-fantastical leaps—like AR overlays that unify distant neighbors, or neural interfaces bridging what was once intangible. We’ve witnessed a </w:t>
      </w:r>
      <w:r w:rsidRPr="003969FC">
        <w:lastRenderedPageBreak/>
        <w:t xml:space="preserve">blossoming of micro-credentials, AI mentors, and shared community breakthroughs. And it’s not the technology alone that sparks awe, but </w:t>
      </w:r>
      <w:r w:rsidRPr="003969FC">
        <w:rPr>
          <w:rStyle w:val="Strong"/>
          <w:rFonts w:eastAsiaTheme="majorEastAsia"/>
        </w:rPr>
        <w:t>how</w:t>
      </w:r>
      <w:r w:rsidRPr="003969FC">
        <w:t xml:space="preserve"> it reaffirms our core human impulses: curiosity, collaboration, and the unending desire to do better for ourselves and one another.</w:t>
      </w:r>
    </w:p>
    <w:p w14:paraId="4E8F8827" w14:textId="77777777" w:rsidR="00FA1267" w:rsidRPr="003969FC" w:rsidRDefault="00FA1267" w:rsidP="00FA1267">
      <w:pPr>
        <w:pStyle w:val="Heading3"/>
      </w:pPr>
      <w:bookmarkStart w:id="30" w:name="_Toc186353819"/>
      <w:bookmarkStart w:id="31" w:name="_Toc186356458"/>
      <w:r w:rsidRPr="003969FC">
        <w:t>Tomorrow’s Next Leap</w:t>
      </w:r>
      <w:bookmarkEnd w:id="30"/>
      <w:bookmarkEnd w:id="31"/>
    </w:p>
    <w:p w14:paraId="73672FBC" w14:textId="77777777" w:rsidR="00FA1267" w:rsidRPr="003969FC" w:rsidRDefault="00FA1267" w:rsidP="00FA1267">
      <w:pPr>
        <w:pStyle w:val="NormalWeb"/>
      </w:pPr>
      <w:r w:rsidRPr="003969FC">
        <w:t xml:space="preserve">Yet, this wave is hardly final. Tomorrow’s horizon brims with equally transformative frontiers: </w:t>
      </w:r>
      <w:r w:rsidRPr="003969FC">
        <w:rPr>
          <w:rStyle w:val="Strong"/>
          <w:rFonts w:eastAsiaTheme="majorEastAsia"/>
        </w:rPr>
        <w:t>quantum computing</w:t>
      </w:r>
      <w:r w:rsidRPr="003969FC">
        <w:t xml:space="preserve"> that reshapes data and encryption, </w:t>
      </w:r>
      <w:r w:rsidRPr="003969FC">
        <w:rPr>
          <w:rStyle w:val="Strong"/>
          <w:rFonts w:eastAsiaTheme="majorEastAsia"/>
        </w:rPr>
        <w:t>space travel</w:t>
      </w:r>
      <w:r w:rsidRPr="003969FC">
        <w:t xml:space="preserve"> unlocking colonization or resource exchange across planets, and </w:t>
      </w:r>
      <w:r w:rsidRPr="003969FC">
        <w:rPr>
          <w:rStyle w:val="Strong"/>
          <w:rFonts w:eastAsiaTheme="majorEastAsia"/>
        </w:rPr>
        <w:t>emotional AI</w:t>
      </w:r>
      <w:r w:rsidRPr="003969FC">
        <w:t xml:space="preserve"> that may mirror or even extend our capacity for empathy. Each leap stands ready to push the boundaries of learning and living yet again.</w:t>
      </w:r>
    </w:p>
    <w:p w14:paraId="589F2AE5" w14:textId="77777777" w:rsidR="00FA1267" w:rsidRPr="003969FC" w:rsidRDefault="00FA1267" w:rsidP="00FA1267">
      <w:pPr>
        <w:pStyle w:val="NormalWeb"/>
      </w:pPr>
      <w:r w:rsidRPr="003969FC">
        <w:t xml:space="preserve">As readers of this manifesto, you hold the invitation—perhaps even the responsibility—to stay vigilant and inclusive. When new breakthroughs appear, the question isn’t “Will this overshadow us?” but “How can we guide it with compassion and unity?” By harnessing these innovations through the lens of “knowledge as a human right,” we ensure that no single corporation, elite group, or isolated region stands as gatekeeper to humanity’s next steps. Instead, </w:t>
      </w:r>
      <w:r w:rsidRPr="003969FC">
        <w:rPr>
          <w:rStyle w:val="Strong"/>
          <w:rFonts w:eastAsiaTheme="majorEastAsia"/>
        </w:rPr>
        <w:t>everyone</w:t>
      </w:r>
      <w:r w:rsidRPr="003969FC">
        <w:t xml:space="preserve"> partakes in the unfolding wonder.</w:t>
      </w:r>
    </w:p>
    <w:p w14:paraId="6D3D66BC" w14:textId="77777777" w:rsidR="00FA1267" w:rsidRPr="003969FC" w:rsidRDefault="00FA1267" w:rsidP="00FA1267">
      <w:pPr>
        <w:pStyle w:val="Heading3"/>
      </w:pPr>
      <w:bookmarkStart w:id="32" w:name="_Toc186353820"/>
      <w:bookmarkStart w:id="33" w:name="_Toc186356459"/>
      <w:r w:rsidRPr="003969FC">
        <w:t>A Final Word of Gratitude</w:t>
      </w:r>
      <w:bookmarkEnd w:id="32"/>
      <w:bookmarkEnd w:id="33"/>
    </w:p>
    <w:p w14:paraId="679B2870" w14:textId="77777777" w:rsidR="00FA1267" w:rsidRPr="003969FC" w:rsidRDefault="00FA1267" w:rsidP="00FA1267">
      <w:pPr>
        <w:pStyle w:val="NormalWeb"/>
      </w:pPr>
      <w:r w:rsidRPr="003969FC">
        <w:t>None of these ideals would stand on solid ground if not for the relentless pioneers, educators, open-source advocates, and everyday believers who championed an open, curiosity-driven ethos. This final note belongs to them—to each teacher in a remote village who introduced micro-learning programs, to each coder who spent their nights uploading AR lessons under an open license, and to every family who turned dinner tables into micro-seminars on the wonders of the universe.</w:t>
      </w:r>
    </w:p>
    <w:p w14:paraId="466B5157" w14:textId="77777777" w:rsidR="00FA1267" w:rsidRPr="003969FC" w:rsidRDefault="00FA1267" w:rsidP="00FA1267">
      <w:pPr>
        <w:pStyle w:val="NormalWeb"/>
      </w:pPr>
      <w:r w:rsidRPr="003969FC">
        <w:t xml:space="preserve">Your quiet perseverance, your refusal to hoard insight, your faith in the potential of strangers—these are the sparks lighting the way. Through your dedication, we see that </w:t>
      </w:r>
      <w:r w:rsidRPr="003969FC">
        <w:rPr>
          <w:rStyle w:val="Strong"/>
          <w:rFonts w:eastAsiaTheme="majorEastAsia"/>
        </w:rPr>
        <w:t>Human 2.0</w:t>
      </w:r>
      <w:r w:rsidRPr="003969FC">
        <w:t xml:space="preserve"> is neither distant dream nor naive optimism, but a vibrant, achievable destiny. As you close these pages, may you step into that future, fortified by gratitude, burning curiosity, and the simple truth that knowledge—freely shared—propels us further than we ever imagined possible.</w:t>
      </w:r>
    </w:p>
    <w:p w14:paraId="1E1C4BBA" w14:textId="77777777" w:rsidR="00FA1267" w:rsidRPr="003969FC" w:rsidRDefault="00FA1267" w:rsidP="00FA1267">
      <w:r w:rsidRPr="003969FC">
        <w:rPr>
          <w:rStyle w:val="overflow-hidden"/>
        </w:rPr>
        <w:t>o1</w:t>
      </w:r>
    </w:p>
    <w:p w14:paraId="3E91DF3C" w14:textId="77777777" w:rsidR="00FA1267" w:rsidRPr="003969FC" w:rsidRDefault="00FA1267" w:rsidP="00FA1267">
      <w:pPr>
        <w:pStyle w:val="Heading5"/>
      </w:pPr>
      <w:r w:rsidRPr="003969FC">
        <w:t>You said:</w:t>
      </w:r>
    </w:p>
    <w:p w14:paraId="7D2DD144" w14:textId="77777777" w:rsidR="00FA1267" w:rsidRPr="003969FC" w:rsidRDefault="00FA1267" w:rsidP="00FA1267">
      <w:r w:rsidRPr="003969FC">
        <w:t>GIVE ME THE BOOK TITLE 5 ALTERNATIVES AND THE BEST COMBO TITLE AND DO THE SAME FOR THE MANIFESTO</w:t>
      </w:r>
    </w:p>
    <w:p w14:paraId="61C2210D" w14:textId="77777777" w:rsidR="00FA1267" w:rsidRPr="003969FC" w:rsidRDefault="00FA1267" w:rsidP="00FA1267">
      <w:r w:rsidRPr="003969FC">
        <w:t>ChatGPT</w:t>
      </w:r>
    </w:p>
    <w:p w14:paraId="6F7AD998" w14:textId="77777777" w:rsidR="00FA1267" w:rsidRPr="003969FC" w:rsidRDefault="00FA1267" w:rsidP="00FA1267">
      <w:r w:rsidRPr="003969FC">
        <w:t xml:space="preserve">### Suggested Book Titles: 1. "The Knowledge Revolution: Empowering Humanity for the Future" 2. "Human 2.0: The Path to Universal Learning" 3. "The Age of Abundant Knowledge: A New Era for All" 4. "Unlocking Human Potential: Continuous Learning for the Modern Age" 5. "From Scarcity to Abundance: A Manifesto for Universal Knowledge" Best Combo Book Title: "Human 2.0: Unlocking Universal Knowledge for a New Era" --- ### Suggested Manifesto Titles: 1. "A Unified Future: The Knowledge is a Human Right Manifesto" 2. "Building Human 2.0: A Blueprint for Global Knowledge Access" 3. "The Path </w:t>
      </w:r>
      <w:r w:rsidRPr="003969FC">
        <w:lastRenderedPageBreak/>
        <w:t>Forward: Advocacy for Knowledge and Empowerment" 4. "Manifesto for Human 2.0: Knowledge, Purpose, and Empathy for All" 5. "The Knowledge Revolution: A Manifesto for Universal Education and Growth" Best Combo Manifesto Title: "The Knowledge Revolution: A Manifesto for Human 2.0 and Global Empowerment" for 7 seconds</w:t>
      </w:r>
    </w:p>
    <w:p w14:paraId="7BCCA6E2" w14:textId="1051929A" w:rsidR="00FA1267" w:rsidRDefault="00FA1267" w:rsidP="00E34CB9">
      <w:pPr>
        <w:pStyle w:val="NormalWeb"/>
      </w:pPr>
      <w:r w:rsidRPr="003969FC">
        <w:t xml:space="preserve">Below are five alternate </w:t>
      </w:r>
      <w:r w:rsidRPr="003969FC">
        <w:rPr>
          <w:rStyle w:val="Strong"/>
          <w:rFonts w:eastAsiaTheme="majorEastAsia"/>
        </w:rPr>
        <w:t>book titles</w:t>
      </w:r>
      <w:r w:rsidRPr="003969FC">
        <w:t xml:space="preserve"> and five alternate </w:t>
      </w:r>
      <w:r w:rsidRPr="003969FC">
        <w:rPr>
          <w:rStyle w:val="Strong"/>
          <w:rFonts w:eastAsiaTheme="majorEastAsia"/>
        </w:rPr>
        <w:t>manifesto titles</w:t>
      </w:r>
      <w:r w:rsidRPr="003969FC">
        <w:t xml:space="preserve">, followed by suggestions for the </w:t>
      </w:r>
      <w:r w:rsidRPr="003969FC">
        <w:rPr>
          <w:rStyle w:val="Strong"/>
          <w:rFonts w:eastAsiaTheme="majorEastAsia"/>
        </w:rPr>
        <w:t>best combined</w:t>
      </w:r>
      <w:r w:rsidRPr="003969FC">
        <w:t xml:space="preserve"> versions that capture the essence of both works.</w:t>
      </w:r>
    </w:p>
    <w:p w14:paraId="64B385FC" w14:textId="77777777" w:rsidR="00173E67" w:rsidRDefault="00173E67"/>
    <w:sectPr w:rsidR="00173E6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0A1E"/>
    <w:multiLevelType w:val="multilevel"/>
    <w:tmpl w:val="8F70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E0BBA"/>
    <w:multiLevelType w:val="multilevel"/>
    <w:tmpl w:val="032E5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414C09"/>
    <w:multiLevelType w:val="multilevel"/>
    <w:tmpl w:val="553E80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4309F9"/>
    <w:multiLevelType w:val="multilevel"/>
    <w:tmpl w:val="88CA2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61047B"/>
    <w:multiLevelType w:val="multilevel"/>
    <w:tmpl w:val="199AA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61170E"/>
    <w:multiLevelType w:val="multilevel"/>
    <w:tmpl w:val="4970E5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19B522E"/>
    <w:multiLevelType w:val="multilevel"/>
    <w:tmpl w:val="D820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B70AC4"/>
    <w:multiLevelType w:val="multilevel"/>
    <w:tmpl w:val="71D20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BA7806"/>
    <w:multiLevelType w:val="multilevel"/>
    <w:tmpl w:val="C146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076D3C"/>
    <w:multiLevelType w:val="multilevel"/>
    <w:tmpl w:val="A7341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2A8189F"/>
    <w:multiLevelType w:val="multilevel"/>
    <w:tmpl w:val="9482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2A0988"/>
    <w:multiLevelType w:val="multilevel"/>
    <w:tmpl w:val="8C9CD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3543B3"/>
    <w:multiLevelType w:val="multilevel"/>
    <w:tmpl w:val="FE2EC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4266283"/>
    <w:multiLevelType w:val="multilevel"/>
    <w:tmpl w:val="02D8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4E21115"/>
    <w:multiLevelType w:val="multilevel"/>
    <w:tmpl w:val="E8C09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5A07AF4"/>
    <w:multiLevelType w:val="multilevel"/>
    <w:tmpl w:val="5B925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078D540A"/>
    <w:multiLevelType w:val="multilevel"/>
    <w:tmpl w:val="9B105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B01E29"/>
    <w:multiLevelType w:val="multilevel"/>
    <w:tmpl w:val="AA109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7C70149"/>
    <w:multiLevelType w:val="multilevel"/>
    <w:tmpl w:val="061A6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7E10406"/>
    <w:multiLevelType w:val="multilevel"/>
    <w:tmpl w:val="FF9EDA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80A116D"/>
    <w:multiLevelType w:val="multilevel"/>
    <w:tmpl w:val="807A5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8920CB0"/>
    <w:multiLevelType w:val="multilevel"/>
    <w:tmpl w:val="CFA22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8B94DCE"/>
    <w:multiLevelType w:val="multilevel"/>
    <w:tmpl w:val="2A7085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A226A48"/>
    <w:multiLevelType w:val="multilevel"/>
    <w:tmpl w:val="480EA1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B873D5"/>
    <w:multiLevelType w:val="multilevel"/>
    <w:tmpl w:val="2CF89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B282BB8"/>
    <w:multiLevelType w:val="multilevel"/>
    <w:tmpl w:val="E3EC6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B7669D0"/>
    <w:multiLevelType w:val="multilevel"/>
    <w:tmpl w:val="3E36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C3E6194"/>
    <w:multiLevelType w:val="multilevel"/>
    <w:tmpl w:val="6108DE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0D6F0F65"/>
    <w:multiLevelType w:val="multilevel"/>
    <w:tmpl w:val="8C449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DF47888"/>
    <w:multiLevelType w:val="multilevel"/>
    <w:tmpl w:val="93D6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E16117E"/>
    <w:multiLevelType w:val="multilevel"/>
    <w:tmpl w:val="9D9618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E6F5F50"/>
    <w:multiLevelType w:val="multilevel"/>
    <w:tmpl w:val="8E18A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E8C50B3"/>
    <w:multiLevelType w:val="multilevel"/>
    <w:tmpl w:val="78886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ED779A4"/>
    <w:multiLevelType w:val="multilevel"/>
    <w:tmpl w:val="A6A6D2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0EFC7B31"/>
    <w:multiLevelType w:val="multilevel"/>
    <w:tmpl w:val="AF2824E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F927B7F"/>
    <w:multiLevelType w:val="multilevel"/>
    <w:tmpl w:val="F4B8E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014135D"/>
    <w:multiLevelType w:val="multilevel"/>
    <w:tmpl w:val="3564B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13B4985"/>
    <w:multiLevelType w:val="multilevel"/>
    <w:tmpl w:val="4A867B3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2201046"/>
    <w:multiLevelType w:val="multilevel"/>
    <w:tmpl w:val="F8F465E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3525FD7"/>
    <w:multiLevelType w:val="multilevel"/>
    <w:tmpl w:val="F27AD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135E2DDD"/>
    <w:multiLevelType w:val="multilevel"/>
    <w:tmpl w:val="77B0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13A145FF"/>
    <w:multiLevelType w:val="multilevel"/>
    <w:tmpl w:val="FEBAC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164B67CC"/>
    <w:multiLevelType w:val="multilevel"/>
    <w:tmpl w:val="7FB48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6990E43"/>
    <w:multiLevelType w:val="multilevel"/>
    <w:tmpl w:val="AB30F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170C59A7"/>
    <w:multiLevelType w:val="multilevel"/>
    <w:tmpl w:val="51C8E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17415B3A"/>
    <w:multiLevelType w:val="multilevel"/>
    <w:tmpl w:val="FE98B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18220D63"/>
    <w:multiLevelType w:val="multilevel"/>
    <w:tmpl w:val="6AA22A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8ED71FA"/>
    <w:multiLevelType w:val="multilevel"/>
    <w:tmpl w:val="9376A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942296B"/>
    <w:multiLevelType w:val="multilevel"/>
    <w:tmpl w:val="2C3A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9CF4B05"/>
    <w:multiLevelType w:val="multilevel"/>
    <w:tmpl w:val="A27CE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C6D4B20"/>
    <w:multiLevelType w:val="multilevel"/>
    <w:tmpl w:val="A9C46B3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1D4E5DDA"/>
    <w:multiLevelType w:val="multilevel"/>
    <w:tmpl w:val="7F80C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E5304EE"/>
    <w:multiLevelType w:val="multilevel"/>
    <w:tmpl w:val="805A8B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1F1A6BAF"/>
    <w:multiLevelType w:val="multilevel"/>
    <w:tmpl w:val="AAE460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F68090F"/>
    <w:multiLevelType w:val="multilevel"/>
    <w:tmpl w:val="47F04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09C29A1"/>
    <w:multiLevelType w:val="multilevel"/>
    <w:tmpl w:val="A4225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09C3EC5"/>
    <w:multiLevelType w:val="multilevel"/>
    <w:tmpl w:val="BBD09D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0C42BF0"/>
    <w:multiLevelType w:val="multilevel"/>
    <w:tmpl w:val="81088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2188262E"/>
    <w:multiLevelType w:val="multilevel"/>
    <w:tmpl w:val="DFD0B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1894E20"/>
    <w:multiLevelType w:val="multilevel"/>
    <w:tmpl w:val="C512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21EB7411"/>
    <w:multiLevelType w:val="multilevel"/>
    <w:tmpl w:val="0706B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2124317"/>
    <w:multiLevelType w:val="multilevel"/>
    <w:tmpl w:val="3370B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2233438A"/>
    <w:multiLevelType w:val="multilevel"/>
    <w:tmpl w:val="8E4EA9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2584909"/>
    <w:multiLevelType w:val="multilevel"/>
    <w:tmpl w:val="204E9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2F26778"/>
    <w:multiLevelType w:val="multilevel"/>
    <w:tmpl w:val="8C7CE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22FB3D3A"/>
    <w:multiLevelType w:val="multilevel"/>
    <w:tmpl w:val="174AE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234D07B6"/>
    <w:multiLevelType w:val="multilevel"/>
    <w:tmpl w:val="252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23C20101"/>
    <w:multiLevelType w:val="multilevel"/>
    <w:tmpl w:val="721E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46A36A0"/>
    <w:multiLevelType w:val="multilevel"/>
    <w:tmpl w:val="8AFEB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25057271"/>
    <w:multiLevelType w:val="multilevel"/>
    <w:tmpl w:val="61846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52003AE"/>
    <w:multiLevelType w:val="multilevel"/>
    <w:tmpl w:val="D6FE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258049EE"/>
    <w:multiLevelType w:val="multilevel"/>
    <w:tmpl w:val="068A5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5C83179"/>
    <w:multiLevelType w:val="hybridMultilevel"/>
    <w:tmpl w:val="8092EB60"/>
    <w:lvl w:ilvl="0" w:tplc="83B8D3B0">
      <w:start w:val="1"/>
      <w:numFmt w:val="decimal"/>
      <w:lvlText w:val="%1."/>
      <w:lvlJc w:val="left"/>
      <w:pPr>
        <w:ind w:left="720" w:hanging="360"/>
      </w:pPr>
      <w:rPr>
        <w:rFonts w:asciiTheme="majorHAnsi" w:hAnsiTheme="majorHAnsi"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6BC346E"/>
    <w:multiLevelType w:val="multilevel"/>
    <w:tmpl w:val="4DC60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2898198F"/>
    <w:multiLevelType w:val="multilevel"/>
    <w:tmpl w:val="67B6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28C00832"/>
    <w:multiLevelType w:val="multilevel"/>
    <w:tmpl w:val="5148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294506D6"/>
    <w:multiLevelType w:val="multilevel"/>
    <w:tmpl w:val="D0C49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298C112A"/>
    <w:multiLevelType w:val="multilevel"/>
    <w:tmpl w:val="3D14A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B4A6B14"/>
    <w:multiLevelType w:val="multilevel"/>
    <w:tmpl w:val="6B52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2B9D60B0"/>
    <w:multiLevelType w:val="multilevel"/>
    <w:tmpl w:val="04A23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2BA91B95"/>
    <w:multiLevelType w:val="multilevel"/>
    <w:tmpl w:val="96F01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2C811E1A"/>
    <w:multiLevelType w:val="multilevel"/>
    <w:tmpl w:val="255ED3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2D253338"/>
    <w:multiLevelType w:val="multilevel"/>
    <w:tmpl w:val="2D928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2D2D4C35"/>
    <w:multiLevelType w:val="multilevel"/>
    <w:tmpl w:val="B1E4E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2E0B0B87"/>
    <w:multiLevelType w:val="multilevel"/>
    <w:tmpl w:val="E9CCE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2E2C13CC"/>
    <w:multiLevelType w:val="multilevel"/>
    <w:tmpl w:val="67E89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2E576DD4"/>
    <w:multiLevelType w:val="multilevel"/>
    <w:tmpl w:val="45D43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E6E7FE7"/>
    <w:multiLevelType w:val="multilevel"/>
    <w:tmpl w:val="1060A1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2F6B5ADD"/>
    <w:multiLevelType w:val="multilevel"/>
    <w:tmpl w:val="43DA5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31234A66"/>
    <w:multiLevelType w:val="multilevel"/>
    <w:tmpl w:val="F59E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3130449B"/>
    <w:multiLevelType w:val="multilevel"/>
    <w:tmpl w:val="6A06F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16A6CFF"/>
    <w:multiLevelType w:val="multilevel"/>
    <w:tmpl w:val="9B6AC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31A37C5B"/>
    <w:multiLevelType w:val="multilevel"/>
    <w:tmpl w:val="11369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33644983"/>
    <w:multiLevelType w:val="multilevel"/>
    <w:tmpl w:val="DBA2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33B0366E"/>
    <w:multiLevelType w:val="multilevel"/>
    <w:tmpl w:val="D4DEB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3C25901"/>
    <w:multiLevelType w:val="multilevel"/>
    <w:tmpl w:val="9F528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341B3C8A"/>
    <w:multiLevelType w:val="multilevel"/>
    <w:tmpl w:val="880A5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48F0A36"/>
    <w:multiLevelType w:val="multilevel"/>
    <w:tmpl w:val="B60A56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4BD69F4"/>
    <w:multiLevelType w:val="multilevel"/>
    <w:tmpl w:val="244242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357C254C"/>
    <w:multiLevelType w:val="multilevel"/>
    <w:tmpl w:val="38D0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35AF3050"/>
    <w:multiLevelType w:val="multilevel"/>
    <w:tmpl w:val="50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363549FD"/>
    <w:multiLevelType w:val="multilevel"/>
    <w:tmpl w:val="68CE3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6FA63B4"/>
    <w:multiLevelType w:val="multilevel"/>
    <w:tmpl w:val="547ECB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370C1451"/>
    <w:multiLevelType w:val="multilevel"/>
    <w:tmpl w:val="1E3AFB6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7CA720E"/>
    <w:multiLevelType w:val="multilevel"/>
    <w:tmpl w:val="8CD8A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37FE5D42"/>
    <w:multiLevelType w:val="multilevel"/>
    <w:tmpl w:val="01021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38A301F9"/>
    <w:multiLevelType w:val="multilevel"/>
    <w:tmpl w:val="9D0C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39250824"/>
    <w:multiLevelType w:val="multilevel"/>
    <w:tmpl w:val="1FF8C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39AB1C33"/>
    <w:multiLevelType w:val="multilevel"/>
    <w:tmpl w:val="F132C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3A6D16F7"/>
    <w:multiLevelType w:val="multilevel"/>
    <w:tmpl w:val="50B2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3A7B50FE"/>
    <w:multiLevelType w:val="multilevel"/>
    <w:tmpl w:val="A734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3AD246CF"/>
    <w:multiLevelType w:val="multilevel"/>
    <w:tmpl w:val="77B01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3C001C9A"/>
    <w:multiLevelType w:val="multilevel"/>
    <w:tmpl w:val="C9F6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3C317399"/>
    <w:multiLevelType w:val="multilevel"/>
    <w:tmpl w:val="EAB22B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3E7372EF"/>
    <w:multiLevelType w:val="multilevel"/>
    <w:tmpl w:val="24C61B1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3E870154"/>
    <w:multiLevelType w:val="multilevel"/>
    <w:tmpl w:val="32766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3F1C5FAB"/>
    <w:multiLevelType w:val="multilevel"/>
    <w:tmpl w:val="E8DE0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3FB417F0"/>
    <w:multiLevelType w:val="multilevel"/>
    <w:tmpl w:val="2F925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3FFC6330"/>
    <w:multiLevelType w:val="multilevel"/>
    <w:tmpl w:val="E75C3FB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1CA2E5C"/>
    <w:multiLevelType w:val="multilevel"/>
    <w:tmpl w:val="69682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426139CA"/>
    <w:multiLevelType w:val="multilevel"/>
    <w:tmpl w:val="89AE4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30A1F63"/>
    <w:multiLevelType w:val="multilevel"/>
    <w:tmpl w:val="904E6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40E05A9"/>
    <w:multiLevelType w:val="multilevel"/>
    <w:tmpl w:val="9E140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51905F9"/>
    <w:multiLevelType w:val="multilevel"/>
    <w:tmpl w:val="82DCB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45256DA2"/>
    <w:multiLevelType w:val="multilevel"/>
    <w:tmpl w:val="7062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454D54C2"/>
    <w:multiLevelType w:val="multilevel"/>
    <w:tmpl w:val="C54C8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455519A2"/>
    <w:multiLevelType w:val="multilevel"/>
    <w:tmpl w:val="3900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45C71A1C"/>
    <w:multiLevelType w:val="multilevel"/>
    <w:tmpl w:val="AB123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46AC746F"/>
    <w:multiLevelType w:val="multilevel"/>
    <w:tmpl w:val="0F2A0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4701235F"/>
    <w:multiLevelType w:val="multilevel"/>
    <w:tmpl w:val="49FA5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73E4DB1"/>
    <w:multiLevelType w:val="multilevel"/>
    <w:tmpl w:val="A11C3A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79B4FC5"/>
    <w:multiLevelType w:val="multilevel"/>
    <w:tmpl w:val="DE2E3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47BC3824"/>
    <w:multiLevelType w:val="multilevel"/>
    <w:tmpl w:val="0040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47C62A39"/>
    <w:multiLevelType w:val="multilevel"/>
    <w:tmpl w:val="EB085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48505769"/>
    <w:multiLevelType w:val="multilevel"/>
    <w:tmpl w:val="1A6C0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489545CB"/>
    <w:multiLevelType w:val="multilevel"/>
    <w:tmpl w:val="909E7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489F359D"/>
    <w:multiLevelType w:val="multilevel"/>
    <w:tmpl w:val="FBC41F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48F36171"/>
    <w:multiLevelType w:val="multilevel"/>
    <w:tmpl w:val="F7CCD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96320FA"/>
    <w:multiLevelType w:val="multilevel"/>
    <w:tmpl w:val="AAF8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49643E98"/>
    <w:multiLevelType w:val="multilevel"/>
    <w:tmpl w:val="10004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49691310"/>
    <w:multiLevelType w:val="multilevel"/>
    <w:tmpl w:val="1FE038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4C075F3B"/>
    <w:multiLevelType w:val="multilevel"/>
    <w:tmpl w:val="263064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4C36047E"/>
    <w:multiLevelType w:val="multilevel"/>
    <w:tmpl w:val="0136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C592791"/>
    <w:multiLevelType w:val="multilevel"/>
    <w:tmpl w:val="5FDE4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CCB45E0"/>
    <w:multiLevelType w:val="multilevel"/>
    <w:tmpl w:val="C906A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4D9C0FE6"/>
    <w:multiLevelType w:val="multilevel"/>
    <w:tmpl w:val="55AC2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DE93823"/>
    <w:multiLevelType w:val="multilevel"/>
    <w:tmpl w:val="CEE01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4E746DA6"/>
    <w:multiLevelType w:val="multilevel"/>
    <w:tmpl w:val="7DD4A0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4F2742E4"/>
    <w:multiLevelType w:val="multilevel"/>
    <w:tmpl w:val="EE1A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4F8E3A64"/>
    <w:multiLevelType w:val="multilevel"/>
    <w:tmpl w:val="A9EE80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4FD60535"/>
    <w:multiLevelType w:val="multilevel"/>
    <w:tmpl w:val="DBC2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4FD85725"/>
    <w:multiLevelType w:val="multilevel"/>
    <w:tmpl w:val="DE1E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38970A7"/>
    <w:multiLevelType w:val="multilevel"/>
    <w:tmpl w:val="03845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53E12514"/>
    <w:multiLevelType w:val="multilevel"/>
    <w:tmpl w:val="78365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544D4DA9"/>
    <w:multiLevelType w:val="multilevel"/>
    <w:tmpl w:val="20909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4534494"/>
    <w:multiLevelType w:val="multilevel"/>
    <w:tmpl w:val="2E641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54977D5B"/>
    <w:multiLevelType w:val="multilevel"/>
    <w:tmpl w:val="BDA27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54C25A15"/>
    <w:multiLevelType w:val="multilevel"/>
    <w:tmpl w:val="5A981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5F263EC"/>
    <w:multiLevelType w:val="multilevel"/>
    <w:tmpl w:val="28CA1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567D4786"/>
    <w:multiLevelType w:val="multilevel"/>
    <w:tmpl w:val="39E2E50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57D26CE7"/>
    <w:multiLevelType w:val="multilevel"/>
    <w:tmpl w:val="4C4EB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91C4A5D"/>
    <w:multiLevelType w:val="multilevel"/>
    <w:tmpl w:val="40F46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59B66E69"/>
    <w:multiLevelType w:val="multilevel"/>
    <w:tmpl w:val="26B2D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A315856"/>
    <w:multiLevelType w:val="multilevel"/>
    <w:tmpl w:val="4B2C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5A524DEC"/>
    <w:multiLevelType w:val="multilevel"/>
    <w:tmpl w:val="43C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5AE41532"/>
    <w:multiLevelType w:val="multilevel"/>
    <w:tmpl w:val="8CB8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5BCE2F0C"/>
    <w:multiLevelType w:val="multilevel"/>
    <w:tmpl w:val="5A7E2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5C334F75"/>
    <w:multiLevelType w:val="multilevel"/>
    <w:tmpl w:val="04E0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5C7D6802"/>
    <w:multiLevelType w:val="multilevel"/>
    <w:tmpl w:val="B492D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5C9932FA"/>
    <w:multiLevelType w:val="multilevel"/>
    <w:tmpl w:val="9AD6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5D4F6C3F"/>
    <w:multiLevelType w:val="multilevel"/>
    <w:tmpl w:val="F5125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D9D10DE"/>
    <w:multiLevelType w:val="multilevel"/>
    <w:tmpl w:val="9B6C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5DFE2A87"/>
    <w:multiLevelType w:val="multilevel"/>
    <w:tmpl w:val="76A883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5E082D4D"/>
    <w:multiLevelType w:val="multilevel"/>
    <w:tmpl w:val="6122C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5E386732"/>
    <w:multiLevelType w:val="multilevel"/>
    <w:tmpl w:val="7A0C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5E5F259C"/>
    <w:multiLevelType w:val="multilevel"/>
    <w:tmpl w:val="000AF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5E6D5336"/>
    <w:multiLevelType w:val="multilevel"/>
    <w:tmpl w:val="17267F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5F88246C"/>
    <w:multiLevelType w:val="multilevel"/>
    <w:tmpl w:val="D9F89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5FFE5737"/>
    <w:multiLevelType w:val="multilevel"/>
    <w:tmpl w:val="42065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0415AD8"/>
    <w:multiLevelType w:val="multilevel"/>
    <w:tmpl w:val="BDBE9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054531D"/>
    <w:multiLevelType w:val="multilevel"/>
    <w:tmpl w:val="90CE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60C36AAD"/>
    <w:multiLevelType w:val="multilevel"/>
    <w:tmpl w:val="6646E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60D7737F"/>
    <w:multiLevelType w:val="multilevel"/>
    <w:tmpl w:val="410CD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11F26AF"/>
    <w:multiLevelType w:val="multilevel"/>
    <w:tmpl w:val="6EC6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62854E24"/>
    <w:multiLevelType w:val="multilevel"/>
    <w:tmpl w:val="DFD4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62A51960"/>
    <w:multiLevelType w:val="multilevel"/>
    <w:tmpl w:val="37F29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4097578"/>
    <w:multiLevelType w:val="multilevel"/>
    <w:tmpl w:val="9CD2C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65291E38"/>
    <w:multiLevelType w:val="multilevel"/>
    <w:tmpl w:val="00A65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6566425D"/>
    <w:multiLevelType w:val="multilevel"/>
    <w:tmpl w:val="4C860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66035C94"/>
    <w:multiLevelType w:val="multilevel"/>
    <w:tmpl w:val="DBC80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6A1C10A8"/>
    <w:multiLevelType w:val="multilevel"/>
    <w:tmpl w:val="7F2AF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6A7B50DE"/>
    <w:multiLevelType w:val="multilevel"/>
    <w:tmpl w:val="37B0C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6AA92F18"/>
    <w:multiLevelType w:val="multilevel"/>
    <w:tmpl w:val="C1743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AB44CF6"/>
    <w:multiLevelType w:val="multilevel"/>
    <w:tmpl w:val="705E4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6AFF0EE4"/>
    <w:multiLevelType w:val="multilevel"/>
    <w:tmpl w:val="0D56D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6C280708"/>
    <w:multiLevelType w:val="multilevel"/>
    <w:tmpl w:val="E86861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6CFD7314"/>
    <w:multiLevelType w:val="multilevel"/>
    <w:tmpl w:val="0CBE2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6D5A73D7"/>
    <w:multiLevelType w:val="multilevel"/>
    <w:tmpl w:val="B48E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6D616108"/>
    <w:multiLevelType w:val="multilevel"/>
    <w:tmpl w:val="99B89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6E2B2EED"/>
    <w:multiLevelType w:val="multilevel"/>
    <w:tmpl w:val="FAF63B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6E6A1C62"/>
    <w:multiLevelType w:val="multilevel"/>
    <w:tmpl w:val="332C9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6EC13C18"/>
    <w:multiLevelType w:val="multilevel"/>
    <w:tmpl w:val="557AA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6F7E7286"/>
    <w:multiLevelType w:val="multilevel"/>
    <w:tmpl w:val="A262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6FAB4EE3"/>
    <w:multiLevelType w:val="multilevel"/>
    <w:tmpl w:val="64826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703F6E41"/>
    <w:multiLevelType w:val="multilevel"/>
    <w:tmpl w:val="127EE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70C74114"/>
    <w:multiLevelType w:val="multilevel"/>
    <w:tmpl w:val="9F26E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71A1780E"/>
    <w:multiLevelType w:val="multilevel"/>
    <w:tmpl w:val="0CDEF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71DB21B6"/>
    <w:multiLevelType w:val="multilevel"/>
    <w:tmpl w:val="162E5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727843EC"/>
    <w:multiLevelType w:val="multilevel"/>
    <w:tmpl w:val="FFA63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72B30B89"/>
    <w:multiLevelType w:val="multilevel"/>
    <w:tmpl w:val="7F8232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743030E8"/>
    <w:multiLevelType w:val="multilevel"/>
    <w:tmpl w:val="009A7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74303266"/>
    <w:multiLevelType w:val="multilevel"/>
    <w:tmpl w:val="3B78B8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74C02E7A"/>
    <w:multiLevelType w:val="multilevel"/>
    <w:tmpl w:val="5FD84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75DE1E42"/>
    <w:multiLevelType w:val="multilevel"/>
    <w:tmpl w:val="1780E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5DE2965"/>
    <w:multiLevelType w:val="multilevel"/>
    <w:tmpl w:val="65EEF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788F48FD"/>
    <w:multiLevelType w:val="multilevel"/>
    <w:tmpl w:val="B408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789549F0"/>
    <w:multiLevelType w:val="multilevel"/>
    <w:tmpl w:val="7654D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7B6C4457"/>
    <w:multiLevelType w:val="multilevel"/>
    <w:tmpl w:val="E5D8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7BD20663"/>
    <w:multiLevelType w:val="multilevel"/>
    <w:tmpl w:val="4EEE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7C05315D"/>
    <w:multiLevelType w:val="multilevel"/>
    <w:tmpl w:val="EF8A1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7C5B1186"/>
    <w:multiLevelType w:val="multilevel"/>
    <w:tmpl w:val="FF40D1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1" w15:restartNumberingAfterBreak="0">
    <w:nsid w:val="7CE41C15"/>
    <w:multiLevelType w:val="multilevel"/>
    <w:tmpl w:val="1256EC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7D347F78"/>
    <w:multiLevelType w:val="multilevel"/>
    <w:tmpl w:val="F190E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7F036561"/>
    <w:multiLevelType w:val="multilevel"/>
    <w:tmpl w:val="EE085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7FEF40A6"/>
    <w:multiLevelType w:val="multilevel"/>
    <w:tmpl w:val="DA6E6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73012412">
    <w:abstractNumId w:val="27"/>
  </w:num>
  <w:num w:numId="2" w16cid:durableId="1470052787">
    <w:abstractNumId w:val="176"/>
  </w:num>
  <w:num w:numId="3" w16cid:durableId="763570389">
    <w:abstractNumId w:val="130"/>
  </w:num>
  <w:num w:numId="4" w16cid:durableId="2045059091">
    <w:abstractNumId w:val="53"/>
  </w:num>
  <w:num w:numId="5" w16cid:durableId="66197481">
    <w:abstractNumId w:val="97"/>
  </w:num>
  <w:num w:numId="6" w16cid:durableId="252249640">
    <w:abstractNumId w:val="120"/>
  </w:num>
  <w:num w:numId="7" w16cid:durableId="300505613">
    <w:abstractNumId w:val="62"/>
  </w:num>
  <w:num w:numId="8" w16cid:durableId="228002954">
    <w:abstractNumId w:val="209"/>
  </w:num>
  <w:num w:numId="9" w16cid:durableId="1080566959">
    <w:abstractNumId w:val="126"/>
  </w:num>
  <w:num w:numId="10" w16cid:durableId="1725789794">
    <w:abstractNumId w:val="145"/>
  </w:num>
  <w:num w:numId="11" w16cid:durableId="965698258">
    <w:abstractNumId w:val="158"/>
  </w:num>
  <w:num w:numId="12" w16cid:durableId="364910567">
    <w:abstractNumId w:val="202"/>
  </w:num>
  <w:num w:numId="13" w16cid:durableId="1756701416">
    <w:abstractNumId w:val="55"/>
  </w:num>
  <w:num w:numId="14" w16cid:durableId="656762860">
    <w:abstractNumId w:val="132"/>
  </w:num>
  <w:num w:numId="15" w16cid:durableId="546457886">
    <w:abstractNumId w:val="38"/>
  </w:num>
  <w:num w:numId="16" w16cid:durableId="1408267471">
    <w:abstractNumId w:val="160"/>
  </w:num>
  <w:num w:numId="17" w16cid:durableId="210962658">
    <w:abstractNumId w:val="20"/>
  </w:num>
  <w:num w:numId="18" w16cid:durableId="2122795913">
    <w:abstractNumId w:val="223"/>
  </w:num>
  <w:num w:numId="19" w16cid:durableId="5376060">
    <w:abstractNumId w:val="30"/>
  </w:num>
  <w:num w:numId="20" w16cid:durableId="1341274774">
    <w:abstractNumId w:val="37"/>
  </w:num>
  <w:num w:numId="21" w16cid:durableId="1972976654">
    <w:abstractNumId w:val="128"/>
  </w:num>
  <w:num w:numId="22" w16cid:durableId="356278439">
    <w:abstractNumId w:val="46"/>
  </w:num>
  <w:num w:numId="23" w16cid:durableId="1012955195">
    <w:abstractNumId w:val="103"/>
  </w:num>
  <w:num w:numId="24" w16cid:durableId="43723063">
    <w:abstractNumId w:val="114"/>
  </w:num>
  <w:num w:numId="25" w16cid:durableId="877856929">
    <w:abstractNumId w:val="107"/>
  </w:num>
  <w:num w:numId="26" w16cid:durableId="1151097222">
    <w:abstractNumId w:val="113"/>
  </w:num>
  <w:num w:numId="27" w16cid:durableId="148518778">
    <w:abstractNumId w:val="102"/>
  </w:num>
  <w:num w:numId="28" w16cid:durableId="1363169419">
    <w:abstractNumId w:val="220"/>
  </w:num>
  <w:num w:numId="29" w16cid:durableId="80294290">
    <w:abstractNumId w:val="88"/>
  </w:num>
  <w:num w:numId="30" w16cid:durableId="993686305">
    <w:abstractNumId w:val="182"/>
  </w:num>
  <w:num w:numId="31" w16cid:durableId="377625870">
    <w:abstractNumId w:val="13"/>
  </w:num>
  <w:num w:numId="32" w16cid:durableId="382994271">
    <w:abstractNumId w:val="203"/>
  </w:num>
  <w:num w:numId="33" w16cid:durableId="1899396639">
    <w:abstractNumId w:val="12"/>
  </w:num>
  <w:num w:numId="34" w16cid:durableId="373698843">
    <w:abstractNumId w:val="148"/>
  </w:num>
  <w:num w:numId="35" w16cid:durableId="1089085177">
    <w:abstractNumId w:val="41"/>
  </w:num>
  <w:num w:numId="36" w16cid:durableId="1807425979">
    <w:abstractNumId w:val="200"/>
  </w:num>
  <w:num w:numId="37" w16cid:durableId="442653541">
    <w:abstractNumId w:val="117"/>
  </w:num>
  <w:num w:numId="38" w16cid:durableId="1513454234">
    <w:abstractNumId w:val="194"/>
  </w:num>
  <w:num w:numId="39" w16cid:durableId="1209879950">
    <w:abstractNumId w:val="139"/>
  </w:num>
  <w:num w:numId="40" w16cid:durableId="634605108">
    <w:abstractNumId w:val="224"/>
  </w:num>
  <w:num w:numId="41" w16cid:durableId="583614950">
    <w:abstractNumId w:val="212"/>
  </w:num>
  <w:num w:numId="42" w16cid:durableId="333801044">
    <w:abstractNumId w:val="162"/>
  </w:num>
  <w:num w:numId="43" w16cid:durableId="114451406">
    <w:abstractNumId w:val="217"/>
  </w:num>
  <w:num w:numId="44" w16cid:durableId="1931573680">
    <w:abstractNumId w:val="67"/>
  </w:num>
  <w:num w:numId="45" w16cid:durableId="743913343">
    <w:abstractNumId w:val="61"/>
  </w:num>
  <w:num w:numId="46" w16cid:durableId="2019116622">
    <w:abstractNumId w:val="116"/>
  </w:num>
  <w:num w:numId="47" w16cid:durableId="156269758">
    <w:abstractNumId w:val="171"/>
  </w:num>
  <w:num w:numId="48" w16cid:durableId="1343511096">
    <w:abstractNumId w:val="138"/>
  </w:num>
  <w:num w:numId="49" w16cid:durableId="944847291">
    <w:abstractNumId w:val="174"/>
  </w:num>
  <w:num w:numId="50" w16cid:durableId="367221778">
    <w:abstractNumId w:val="201"/>
  </w:num>
  <w:num w:numId="51" w16cid:durableId="1635409221">
    <w:abstractNumId w:val="213"/>
  </w:num>
  <w:num w:numId="52" w16cid:durableId="591814133">
    <w:abstractNumId w:val="205"/>
  </w:num>
  <w:num w:numId="53" w16cid:durableId="258492639">
    <w:abstractNumId w:val="169"/>
  </w:num>
  <w:num w:numId="54" w16cid:durableId="1857111013">
    <w:abstractNumId w:val="184"/>
  </w:num>
  <w:num w:numId="55" w16cid:durableId="991565179">
    <w:abstractNumId w:val="170"/>
  </w:num>
  <w:num w:numId="56" w16cid:durableId="1325352663">
    <w:abstractNumId w:val="142"/>
  </w:num>
  <w:num w:numId="57" w16cid:durableId="418991010">
    <w:abstractNumId w:val="187"/>
  </w:num>
  <w:num w:numId="58" w16cid:durableId="980111889">
    <w:abstractNumId w:val="125"/>
  </w:num>
  <w:num w:numId="59" w16cid:durableId="1690764533">
    <w:abstractNumId w:val="75"/>
  </w:num>
  <w:num w:numId="60" w16cid:durableId="376703125">
    <w:abstractNumId w:val="177"/>
  </w:num>
  <w:num w:numId="61" w16cid:durableId="1264805849">
    <w:abstractNumId w:val="214"/>
  </w:num>
  <w:num w:numId="62" w16cid:durableId="944925055">
    <w:abstractNumId w:val="105"/>
  </w:num>
  <w:num w:numId="63" w16cid:durableId="1776826168">
    <w:abstractNumId w:val="218"/>
  </w:num>
  <w:num w:numId="64" w16cid:durableId="981888590">
    <w:abstractNumId w:val="65"/>
  </w:num>
  <w:num w:numId="65" w16cid:durableId="1338003782">
    <w:abstractNumId w:val="193"/>
  </w:num>
  <w:num w:numId="66" w16cid:durableId="535120460">
    <w:abstractNumId w:val="91"/>
  </w:num>
  <w:num w:numId="67" w16cid:durableId="34354734">
    <w:abstractNumId w:val="42"/>
  </w:num>
  <w:num w:numId="68" w16cid:durableId="460542041">
    <w:abstractNumId w:val="86"/>
  </w:num>
  <w:num w:numId="69" w16cid:durableId="2037533533">
    <w:abstractNumId w:val="59"/>
  </w:num>
  <w:num w:numId="70" w16cid:durableId="421532888">
    <w:abstractNumId w:val="77"/>
  </w:num>
  <w:num w:numId="71" w16cid:durableId="31154527">
    <w:abstractNumId w:val="180"/>
  </w:num>
  <w:num w:numId="72" w16cid:durableId="1015229294">
    <w:abstractNumId w:val="123"/>
  </w:num>
  <w:num w:numId="73" w16cid:durableId="608010170">
    <w:abstractNumId w:val="151"/>
  </w:num>
  <w:num w:numId="74" w16cid:durableId="853033608">
    <w:abstractNumId w:val="146"/>
  </w:num>
  <w:num w:numId="75" w16cid:durableId="2100566414">
    <w:abstractNumId w:val="28"/>
  </w:num>
  <w:num w:numId="76" w16cid:durableId="1318025251">
    <w:abstractNumId w:val="23"/>
  </w:num>
  <w:num w:numId="77" w16cid:durableId="996567568">
    <w:abstractNumId w:val="70"/>
  </w:num>
  <w:num w:numId="78" w16cid:durableId="973170607">
    <w:abstractNumId w:val="85"/>
  </w:num>
  <w:num w:numId="79" w16cid:durableId="591555">
    <w:abstractNumId w:val="6"/>
  </w:num>
  <w:num w:numId="80" w16cid:durableId="1877034881">
    <w:abstractNumId w:val="35"/>
  </w:num>
  <w:num w:numId="81" w16cid:durableId="2048603853">
    <w:abstractNumId w:val="183"/>
  </w:num>
  <w:num w:numId="82" w16cid:durableId="1203060777">
    <w:abstractNumId w:val="49"/>
  </w:num>
  <w:num w:numId="83" w16cid:durableId="752237211">
    <w:abstractNumId w:val="54"/>
  </w:num>
  <w:num w:numId="84" w16cid:durableId="1568955868">
    <w:abstractNumId w:val="43"/>
  </w:num>
  <w:num w:numId="85" w16cid:durableId="1335113515">
    <w:abstractNumId w:val="32"/>
  </w:num>
  <w:num w:numId="86" w16cid:durableId="74984579">
    <w:abstractNumId w:val="57"/>
  </w:num>
  <w:num w:numId="87" w16cid:durableId="623584322">
    <w:abstractNumId w:val="181"/>
  </w:num>
  <w:num w:numId="88" w16cid:durableId="1849753849">
    <w:abstractNumId w:val="90"/>
  </w:num>
  <w:num w:numId="89" w16cid:durableId="892079138">
    <w:abstractNumId w:val="33"/>
  </w:num>
  <w:num w:numId="90" w16cid:durableId="1401322984">
    <w:abstractNumId w:val="39"/>
  </w:num>
  <w:num w:numId="91" w16cid:durableId="203443796">
    <w:abstractNumId w:val="19"/>
  </w:num>
  <w:num w:numId="92" w16cid:durableId="551963838">
    <w:abstractNumId w:val="74"/>
  </w:num>
  <w:num w:numId="93" w16cid:durableId="1678146585">
    <w:abstractNumId w:val="141"/>
  </w:num>
  <w:num w:numId="94" w16cid:durableId="1826697771">
    <w:abstractNumId w:val="92"/>
  </w:num>
  <w:num w:numId="95" w16cid:durableId="1660645761">
    <w:abstractNumId w:val="140"/>
  </w:num>
  <w:num w:numId="96" w16cid:durableId="1465852497">
    <w:abstractNumId w:val="163"/>
  </w:num>
  <w:num w:numId="97" w16cid:durableId="1008557344">
    <w:abstractNumId w:val="69"/>
  </w:num>
  <w:num w:numId="98" w16cid:durableId="120614515">
    <w:abstractNumId w:val="112"/>
  </w:num>
  <w:num w:numId="99" w16cid:durableId="501361771">
    <w:abstractNumId w:val="0"/>
  </w:num>
  <w:num w:numId="100" w16cid:durableId="1757511035">
    <w:abstractNumId w:val="95"/>
  </w:num>
  <w:num w:numId="101" w16cid:durableId="595285961">
    <w:abstractNumId w:val="96"/>
  </w:num>
  <w:num w:numId="102" w16cid:durableId="907425041">
    <w:abstractNumId w:val="18"/>
  </w:num>
  <w:num w:numId="103" w16cid:durableId="2026248191">
    <w:abstractNumId w:val="89"/>
  </w:num>
  <w:num w:numId="104" w16cid:durableId="1727415016">
    <w:abstractNumId w:val="157"/>
  </w:num>
  <w:num w:numId="105" w16cid:durableId="456795170">
    <w:abstractNumId w:val="31"/>
  </w:num>
  <w:num w:numId="106" w16cid:durableId="1140883214">
    <w:abstractNumId w:val="199"/>
  </w:num>
  <w:num w:numId="107" w16cid:durableId="1762071013">
    <w:abstractNumId w:val="44"/>
  </w:num>
  <w:num w:numId="108" w16cid:durableId="368186215">
    <w:abstractNumId w:val="87"/>
  </w:num>
  <w:num w:numId="109" w16cid:durableId="738747180">
    <w:abstractNumId w:val="14"/>
  </w:num>
  <w:num w:numId="110" w16cid:durableId="2141531997">
    <w:abstractNumId w:val="72"/>
  </w:num>
  <w:num w:numId="111" w16cid:durableId="1224178179">
    <w:abstractNumId w:val="15"/>
  </w:num>
  <w:num w:numId="112" w16cid:durableId="1456873151">
    <w:abstractNumId w:val="25"/>
  </w:num>
  <w:num w:numId="113" w16cid:durableId="943878424">
    <w:abstractNumId w:val="188"/>
  </w:num>
  <w:num w:numId="114" w16cid:durableId="382800575">
    <w:abstractNumId w:val="196"/>
  </w:num>
  <w:num w:numId="115" w16cid:durableId="2132505618">
    <w:abstractNumId w:val="167"/>
  </w:num>
  <w:num w:numId="116" w16cid:durableId="341126500">
    <w:abstractNumId w:val="63"/>
  </w:num>
  <w:num w:numId="117" w16cid:durableId="152260346">
    <w:abstractNumId w:val="11"/>
  </w:num>
  <w:num w:numId="118" w16cid:durableId="1662996">
    <w:abstractNumId w:val="50"/>
  </w:num>
  <w:num w:numId="119" w16cid:durableId="815880852">
    <w:abstractNumId w:val="99"/>
  </w:num>
  <w:num w:numId="120" w16cid:durableId="330834637">
    <w:abstractNumId w:val="48"/>
  </w:num>
  <w:num w:numId="121" w16cid:durableId="469323877">
    <w:abstractNumId w:val="143"/>
  </w:num>
  <w:num w:numId="122" w16cid:durableId="1030298990">
    <w:abstractNumId w:val="22"/>
  </w:num>
  <w:num w:numId="123" w16cid:durableId="434863125">
    <w:abstractNumId w:val="136"/>
  </w:num>
  <w:num w:numId="124" w16cid:durableId="1395733693">
    <w:abstractNumId w:val="2"/>
  </w:num>
  <w:num w:numId="125" w16cid:durableId="1275795502">
    <w:abstractNumId w:val="5"/>
  </w:num>
  <w:num w:numId="126" w16cid:durableId="2008632548">
    <w:abstractNumId w:val="118"/>
  </w:num>
  <w:num w:numId="127" w16cid:durableId="1861357422">
    <w:abstractNumId w:val="52"/>
  </w:num>
  <w:num w:numId="128" w16cid:durableId="1816212986">
    <w:abstractNumId w:val="79"/>
  </w:num>
  <w:num w:numId="129" w16cid:durableId="2044941171">
    <w:abstractNumId w:val="221"/>
  </w:num>
  <w:num w:numId="130" w16cid:durableId="700739886">
    <w:abstractNumId w:val="98"/>
  </w:num>
  <w:num w:numId="131" w16cid:durableId="125972860">
    <w:abstractNumId w:val="147"/>
  </w:num>
  <w:num w:numId="132" w16cid:durableId="1238831020">
    <w:abstractNumId w:val="45"/>
  </w:num>
  <w:num w:numId="133" w16cid:durableId="653993671">
    <w:abstractNumId w:val="211"/>
  </w:num>
  <w:num w:numId="134" w16cid:durableId="1424764183">
    <w:abstractNumId w:val="137"/>
  </w:num>
  <w:num w:numId="135" w16cid:durableId="961039128">
    <w:abstractNumId w:val="135"/>
  </w:num>
  <w:num w:numId="136" w16cid:durableId="843668854">
    <w:abstractNumId w:val="40"/>
  </w:num>
  <w:num w:numId="137" w16cid:durableId="346174122">
    <w:abstractNumId w:val="104"/>
  </w:num>
  <w:num w:numId="138" w16cid:durableId="1543127109">
    <w:abstractNumId w:val="204"/>
  </w:num>
  <w:num w:numId="139" w16cid:durableId="1000158476">
    <w:abstractNumId w:val="150"/>
  </w:num>
  <w:num w:numId="140" w16cid:durableId="336081684">
    <w:abstractNumId w:val="129"/>
  </w:num>
  <w:num w:numId="141" w16cid:durableId="1185679336">
    <w:abstractNumId w:val="124"/>
  </w:num>
  <w:num w:numId="142" w16cid:durableId="618344613">
    <w:abstractNumId w:val="222"/>
  </w:num>
  <w:num w:numId="143" w16cid:durableId="427508958">
    <w:abstractNumId w:val="153"/>
  </w:num>
  <w:num w:numId="144" w16cid:durableId="298850247">
    <w:abstractNumId w:val="80"/>
  </w:num>
  <w:num w:numId="145" w16cid:durableId="596526061">
    <w:abstractNumId w:val="198"/>
  </w:num>
  <w:num w:numId="146" w16cid:durableId="896356558">
    <w:abstractNumId w:val="24"/>
  </w:num>
  <w:num w:numId="147" w16cid:durableId="1517379308">
    <w:abstractNumId w:val="111"/>
  </w:num>
  <w:num w:numId="148" w16cid:durableId="1373581022">
    <w:abstractNumId w:val="173"/>
  </w:num>
  <w:num w:numId="149" w16cid:durableId="621032652">
    <w:abstractNumId w:val="76"/>
  </w:num>
  <w:num w:numId="150" w16cid:durableId="940383356">
    <w:abstractNumId w:val="127"/>
  </w:num>
  <w:num w:numId="151" w16cid:durableId="546138861">
    <w:abstractNumId w:val="10"/>
  </w:num>
  <w:num w:numId="152" w16cid:durableId="1927692077">
    <w:abstractNumId w:val="152"/>
  </w:num>
  <w:num w:numId="153" w16cid:durableId="116071026">
    <w:abstractNumId w:val="185"/>
  </w:num>
  <w:num w:numId="154" w16cid:durableId="512261018">
    <w:abstractNumId w:val="131"/>
  </w:num>
  <w:num w:numId="155" w16cid:durableId="1279725709">
    <w:abstractNumId w:val="17"/>
  </w:num>
  <w:num w:numId="156" w16cid:durableId="2123767541">
    <w:abstractNumId w:val="83"/>
  </w:num>
  <w:num w:numId="157" w16cid:durableId="720246376">
    <w:abstractNumId w:val="156"/>
  </w:num>
  <w:num w:numId="158" w16cid:durableId="246421240">
    <w:abstractNumId w:val="164"/>
  </w:num>
  <w:num w:numId="159" w16cid:durableId="25721903">
    <w:abstractNumId w:val="178"/>
  </w:num>
  <w:num w:numId="160" w16cid:durableId="939293433">
    <w:abstractNumId w:val="189"/>
  </w:num>
  <w:num w:numId="161" w16cid:durableId="369378695">
    <w:abstractNumId w:val="206"/>
  </w:num>
  <w:num w:numId="162" w16cid:durableId="97218409">
    <w:abstractNumId w:val="29"/>
  </w:num>
  <w:num w:numId="163" w16cid:durableId="614406893">
    <w:abstractNumId w:val="144"/>
  </w:num>
  <w:num w:numId="164" w16cid:durableId="502623885">
    <w:abstractNumId w:val="51"/>
  </w:num>
  <w:num w:numId="165" w16cid:durableId="1872066411">
    <w:abstractNumId w:val="192"/>
  </w:num>
  <w:num w:numId="166" w16cid:durableId="2111971889">
    <w:abstractNumId w:val="64"/>
  </w:num>
  <w:num w:numId="167" w16cid:durableId="455955186">
    <w:abstractNumId w:val="165"/>
  </w:num>
  <w:num w:numId="168" w16cid:durableId="540820128">
    <w:abstractNumId w:val="175"/>
  </w:num>
  <w:num w:numId="169" w16cid:durableId="2108186259">
    <w:abstractNumId w:val="78"/>
  </w:num>
  <w:num w:numId="170" w16cid:durableId="626399710">
    <w:abstractNumId w:val="8"/>
  </w:num>
  <w:num w:numId="171" w16cid:durableId="1954166645">
    <w:abstractNumId w:val="60"/>
  </w:num>
  <w:num w:numId="172" w16cid:durableId="1489790313">
    <w:abstractNumId w:val="119"/>
  </w:num>
  <w:num w:numId="173" w16cid:durableId="1029527489">
    <w:abstractNumId w:val="71"/>
  </w:num>
  <w:num w:numId="174" w16cid:durableId="1113868437">
    <w:abstractNumId w:val="154"/>
  </w:num>
  <w:num w:numId="175" w16cid:durableId="657851813">
    <w:abstractNumId w:val="101"/>
  </w:num>
  <w:num w:numId="176" w16cid:durableId="531654114">
    <w:abstractNumId w:val="100"/>
  </w:num>
  <w:num w:numId="177" w16cid:durableId="501045400">
    <w:abstractNumId w:val="197"/>
  </w:num>
  <w:num w:numId="178" w16cid:durableId="548614879">
    <w:abstractNumId w:val="21"/>
  </w:num>
  <w:num w:numId="179" w16cid:durableId="1261837294">
    <w:abstractNumId w:val="166"/>
  </w:num>
  <w:num w:numId="180" w16cid:durableId="425730940">
    <w:abstractNumId w:val="108"/>
  </w:num>
  <w:num w:numId="181" w16cid:durableId="2058432539">
    <w:abstractNumId w:val="26"/>
  </w:num>
  <w:num w:numId="182" w16cid:durableId="155387173">
    <w:abstractNumId w:val="133"/>
  </w:num>
  <w:num w:numId="183" w16cid:durableId="1085035802">
    <w:abstractNumId w:val="219"/>
  </w:num>
  <w:num w:numId="184" w16cid:durableId="1017850391">
    <w:abstractNumId w:val="1"/>
  </w:num>
  <w:num w:numId="185" w16cid:durableId="1718777762">
    <w:abstractNumId w:val="3"/>
  </w:num>
  <w:num w:numId="186" w16cid:durableId="974412440">
    <w:abstractNumId w:val="179"/>
  </w:num>
  <w:num w:numId="187" w16cid:durableId="2087071928">
    <w:abstractNumId w:val="109"/>
  </w:num>
  <w:num w:numId="188" w16cid:durableId="1807888106">
    <w:abstractNumId w:val="110"/>
  </w:num>
  <w:num w:numId="189" w16cid:durableId="242688022">
    <w:abstractNumId w:val="36"/>
  </w:num>
  <w:num w:numId="190" w16cid:durableId="1361935465">
    <w:abstractNumId w:val="82"/>
  </w:num>
  <w:num w:numId="191" w16cid:durableId="1470636040">
    <w:abstractNumId w:val="68"/>
  </w:num>
  <w:num w:numId="192" w16cid:durableId="530653103">
    <w:abstractNumId w:val="34"/>
  </w:num>
  <w:num w:numId="193" w16cid:durableId="1613124607">
    <w:abstractNumId w:val="84"/>
  </w:num>
  <w:num w:numId="194" w16cid:durableId="459153489">
    <w:abstractNumId w:val="81"/>
  </w:num>
  <w:num w:numId="195" w16cid:durableId="979458706">
    <w:abstractNumId w:val="190"/>
  </w:num>
  <w:num w:numId="196" w16cid:durableId="1036928043">
    <w:abstractNumId w:val="172"/>
  </w:num>
  <w:num w:numId="197" w16cid:durableId="947421149">
    <w:abstractNumId w:val="4"/>
  </w:num>
  <w:num w:numId="198" w16cid:durableId="1935282110">
    <w:abstractNumId w:val="47"/>
  </w:num>
  <w:num w:numId="199" w16cid:durableId="1367951565">
    <w:abstractNumId w:val="93"/>
  </w:num>
  <w:num w:numId="200" w16cid:durableId="595329955">
    <w:abstractNumId w:val="94"/>
  </w:num>
  <w:num w:numId="201" w16cid:durableId="1861775212">
    <w:abstractNumId w:val="191"/>
  </w:num>
  <w:num w:numId="202" w16cid:durableId="1449160053">
    <w:abstractNumId w:val="155"/>
  </w:num>
  <w:num w:numId="203" w16cid:durableId="222641307">
    <w:abstractNumId w:val="215"/>
  </w:num>
  <w:num w:numId="204" w16cid:durableId="1352143139">
    <w:abstractNumId w:val="121"/>
  </w:num>
  <w:num w:numId="205" w16cid:durableId="831407790">
    <w:abstractNumId w:val="66"/>
  </w:num>
  <w:num w:numId="206" w16cid:durableId="1282565355">
    <w:abstractNumId w:val="216"/>
  </w:num>
  <w:num w:numId="207" w16cid:durableId="663170690">
    <w:abstractNumId w:val="134"/>
  </w:num>
  <w:num w:numId="208" w16cid:durableId="401025030">
    <w:abstractNumId w:val="207"/>
  </w:num>
  <w:num w:numId="209" w16cid:durableId="839274950">
    <w:abstractNumId w:val="149"/>
  </w:num>
  <w:num w:numId="210" w16cid:durableId="1658608104">
    <w:abstractNumId w:val="161"/>
  </w:num>
  <w:num w:numId="211" w16cid:durableId="331643771">
    <w:abstractNumId w:val="159"/>
  </w:num>
  <w:num w:numId="212" w16cid:durableId="1597514145">
    <w:abstractNumId w:val="7"/>
  </w:num>
  <w:num w:numId="213" w16cid:durableId="494491924">
    <w:abstractNumId w:val="56"/>
  </w:num>
  <w:num w:numId="214" w16cid:durableId="1724909523">
    <w:abstractNumId w:val="73"/>
  </w:num>
  <w:num w:numId="215" w16cid:durableId="414933361">
    <w:abstractNumId w:val="195"/>
  </w:num>
  <w:num w:numId="216" w16cid:durableId="51586557">
    <w:abstractNumId w:val="210"/>
  </w:num>
  <w:num w:numId="217" w16cid:durableId="1943562737">
    <w:abstractNumId w:val="16"/>
  </w:num>
  <w:num w:numId="218" w16cid:durableId="851605247">
    <w:abstractNumId w:val="9"/>
  </w:num>
  <w:num w:numId="219" w16cid:durableId="334040891">
    <w:abstractNumId w:val="168"/>
  </w:num>
  <w:num w:numId="220" w16cid:durableId="858541465">
    <w:abstractNumId w:val="208"/>
  </w:num>
  <w:num w:numId="221" w16cid:durableId="114064467">
    <w:abstractNumId w:val="58"/>
  </w:num>
  <w:num w:numId="222" w16cid:durableId="884372426">
    <w:abstractNumId w:val="122"/>
  </w:num>
  <w:num w:numId="223" w16cid:durableId="895822685">
    <w:abstractNumId w:val="186"/>
  </w:num>
  <w:num w:numId="224" w16cid:durableId="1139494441">
    <w:abstractNumId w:val="115"/>
  </w:num>
  <w:num w:numId="225" w16cid:durableId="1173373229">
    <w:abstractNumId w:val="10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267"/>
    <w:rsid w:val="0002378A"/>
    <w:rsid w:val="00173E67"/>
    <w:rsid w:val="0034147F"/>
    <w:rsid w:val="00386717"/>
    <w:rsid w:val="00394E07"/>
    <w:rsid w:val="004004A9"/>
    <w:rsid w:val="005F2A24"/>
    <w:rsid w:val="00807BA4"/>
    <w:rsid w:val="00853936"/>
    <w:rsid w:val="00D75341"/>
    <w:rsid w:val="00DA5E7F"/>
    <w:rsid w:val="00E34CB9"/>
    <w:rsid w:val="00FA12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235ED"/>
  <w15:chartTrackingRefBased/>
  <w15:docId w15:val="{B18E0960-FE78-7740-8312-CDE2EAD9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267"/>
  </w:style>
  <w:style w:type="paragraph" w:styleId="Heading1">
    <w:name w:val="heading 1"/>
    <w:basedOn w:val="Normal"/>
    <w:next w:val="Normal"/>
    <w:link w:val="Heading1Char"/>
    <w:uiPriority w:val="9"/>
    <w:qFormat/>
    <w:rsid w:val="00FA12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12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A126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A126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A126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126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126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126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126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126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A126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A126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A126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A126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126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126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126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1267"/>
    <w:rPr>
      <w:rFonts w:eastAsiaTheme="majorEastAsia" w:cstheme="majorBidi"/>
      <w:color w:val="272727" w:themeColor="text1" w:themeTint="D8"/>
    </w:rPr>
  </w:style>
  <w:style w:type="paragraph" w:styleId="Title">
    <w:name w:val="Title"/>
    <w:basedOn w:val="Normal"/>
    <w:next w:val="Normal"/>
    <w:link w:val="TitleChar"/>
    <w:uiPriority w:val="10"/>
    <w:qFormat/>
    <w:rsid w:val="00FA126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126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1267"/>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126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126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A1267"/>
    <w:rPr>
      <w:i/>
      <w:iCs/>
      <w:color w:val="404040" w:themeColor="text1" w:themeTint="BF"/>
    </w:rPr>
  </w:style>
  <w:style w:type="paragraph" w:styleId="ListParagraph">
    <w:name w:val="List Paragraph"/>
    <w:basedOn w:val="Normal"/>
    <w:uiPriority w:val="34"/>
    <w:qFormat/>
    <w:rsid w:val="00FA1267"/>
    <w:pPr>
      <w:ind w:left="720"/>
      <w:contextualSpacing/>
    </w:pPr>
  </w:style>
  <w:style w:type="character" w:styleId="IntenseEmphasis">
    <w:name w:val="Intense Emphasis"/>
    <w:basedOn w:val="DefaultParagraphFont"/>
    <w:uiPriority w:val="21"/>
    <w:qFormat/>
    <w:rsid w:val="00FA1267"/>
    <w:rPr>
      <w:i/>
      <w:iCs/>
      <w:color w:val="0F4761" w:themeColor="accent1" w:themeShade="BF"/>
    </w:rPr>
  </w:style>
  <w:style w:type="paragraph" w:styleId="IntenseQuote">
    <w:name w:val="Intense Quote"/>
    <w:basedOn w:val="Normal"/>
    <w:next w:val="Normal"/>
    <w:link w:val="IntenseQuoteChar"/>
    <w:uiPriority w:val="30"/>
    <w:qFormat/>
    <w:rsid w:val="00FA12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1267"/>
    <w:rPr>
      <w:i/>
      <w:iCs/>
      <w:color w:val="0F4761" w:themeColor="accent1" w:themeShade="BF"/>
    </w:rPr>
  </w:style>
  <w:style w:type="character" w:styleId="IntenseReference">
    <w:name w:val="Intense Reference"/>
    <w:basedOn w:val="DefaultParagraphFont"/>
    <w:uiPriority w:val="32"/>
    <w:qFormat/>
    <w:rsid w:val="00FA1267"/>
    <w:rPr>
      <w:b/>
      <w:bCs/>
      <w:smallCaps/>
      <w:color w:val="0F4761" w:themeColor="accent1" w:themeShade="BF"/>
      <w:spacing w:val="5"/>
    </w:rPr>
  </w:style>
  <w:style w:type="paragraph" w:customStyle="1" w:styleId="msonormal0">
    <w:name w:val="msonormal"/>
    <w:basedOn w:val="Normal"/>
    <w:rsid w:val="00FA1267"/>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FA1267"/>
    <w:rPr>
      <w:b/>
      <w:bCs/>
    </w:rPr>
  </w:style>
  <w:style w:type="paragraph" w:styleId="NormalWeb">
    <w:name w:val="Normal (Web)"/>
    <w:basedOn w:val="Normal"/>
    <w:uiPriority w:val="99"/>
    <w:unhideWhenUsed/>
    <w:rsid w:val="00FA1267"/>
    <w:pPr>
      <w:spacing w:before="100" w:beforeAutospacing="1" w:after="100" w:afterAutospacing="1"/>
    </w:pPr>
    <w:rPr>
      <w:rFonts w:ascii="Times New Roman" w:eastAsia="Times New Roman" w:hAnsi="Times New Roman" w:cs="Times New Roman"/>
      <w:kern w:val="0"/>
      <w14:ligatures w14:val="none"/>
    </w:rPr>
  </w:style>
  <w:style w:type="character" w:customStyle="1" w:styleId="flex">
    <w:name w:val="flex"/>
    <w:basedOn w:val="DefaultParagraphFont"/>
    <w:rsid w:val="00FA1267"/>
  </w:style>
  <w:style w:type="character" w:customStyle="1" w:styleId="hidden">
    <w:name w:val="hidden"/>
    <w:basedOn w:val="DefaultParagraphFont"/>
    <w:rsid w:val="00FA1267"/>
  </w:style>
  <w:style w:type="character" w:customStyle="1" w:styleId="overflow-hidden">
    <w:name w:val="overflow-hidden"/>
    <w:basedOn w:val="DefaultParagraphFont"/>
    <w:rsid w:val="00FA1267"/>
  </w:style>
  <w:style w:type="character" w:customStyle="1" w:styleId="block">
    <w:name w:val="block"/>
    <w:basedOn w:val="DefaultParagraphFont"/>
    <w:rsid w:val="00FA1267"/>
  </w:style>
  <w:style w:type="character" w:styleId="Emphasis">
    <w:name w:val="Emphasis"/>
    <w:basedOn w:val="DefaultParagraphFont"/>
    <w:uiPriority w:val="20"/>
    <w:qFormat/>
    <w:rsid w:val="00FA1267"/>
    <w:rPr>
      <w:i/>
      <w:iCs/>
    </w:rPr>
  </w:style>
  <w:style w:type="character" w:customStyle="1" w:styleId="katex-display">
    <w:name w:val="katex-display"/>
    <w:basedOn w:val="DefaultParagraphFont"/>
    <w:rsid w:val="00FA1267"/>
  </w:style>
  <w:style w:type="character" w:customStyle="1" w:styleId="katex">
    <w:name w:val="katex"/>
    <w:basedOn w:val="DefaultParagraphFont"/>
    <w:rsid w:val="00FA1267"/>
  </w:style>
  <w:style w:type="character" w:customStyle="1" w:styleId="katex-mathml">
    <w:name w:val="katex-mathml"/>
    <w:basedOn w:val="DefaultParagraphFont"/>
    <w:rsid w:val="00FA1267"/>
  </w:style>
  <w:style w:type="character" w:customStyle="1" w:styleId="katex-html">
    <w:name w:val="katex-html"/>
    <w:basedOn w:val="DefaultParagraphFont"/>
    <w:rsid w:val="00FA1267"/>
  </w:style>
  <w:style w:type="character" w:customStyle="1" w:styleId="base">
    <w:name w:val="base"/>
    <w:basedOn w:val="DefaultParagraphFont"/>
    <w:rsid w:val="00FA1267"/>
  </w:style>
  <w:style w:type="character" w:customStyle="1" w:styleId="strut">
    <w:name w:val="strut"/>
    <w:basedOn w:val="DefaultParagraphFont"/>
    <w:rsid w:val="00FA1267"/>
  </w:style>
  <w:style w:type="character" w:customStyle="1" w:styleId="mord">
    <w:name w:val="mord"/>
    <w:basedOn w:val="DefaultParagraphFont"/>
    <w:rsid w:val="00FA1267"/>
  </w:style>
  <w:style w:type="paragraph" w:styleId="z-TopofForm">
    <w:name w:val="HTML Top of Form"/>
    <w:basedOn w:val="Normal"/>
    <w:next w:val="Normal"/>
    <w:link w:val="z-TopofFormChar"/>
    <w:hidden/>
    <w:uiPriority w:val="99"/>
    <w:semiHidden/>
    <w:unhideWhenUsed/>
    <w:rsid w:val="00FA1267"/>
    <w:pPr>
      <w:pBdr>
        <w:bottom w:val="single" w:sz="6" w:space="1" w:color="auto"/>
      </w:pBdr>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FA1267"/>
    <w:rPr>
      <w:rFonts w:ascii="Arial" w:eastAsia="Times New Roman" w:hAnsi="Arial" w:cs="Arial"/>
      <w:vanish/>
      <w:kern w:val="0"/>
      <w:sz w:val="16"/>
      <w:szCs w:val="16"/>
      <w14:ligatures w14:val="none"/>
    </w:rPr>
  </w:style>
  <w:style w:type="paragraph" w:styleId="z-BottomofForm">
    <w:name w:val="HTML Bottom of Form"/>
    <w:basedOn w:val="Normal"/>
    <w:next w:val="Normal"/>
    <w:link w:val="z-BottomofFormChar"/>
    <w:hidden/>
    <w:uiPriority w:val="99"/>
    <w:semiHidden/>
    <w:unhideWhenUsed/>
    <w:rsid w:val="00FA1267"/>
    <w:pPr>
      <w:pBdr>
        <w:top w:val="single" w:sz="6" w:space="1" w:color="auto"/>
      </w:pBdr>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FA1267"/>
    <w:rPr>
      <w:rFonts w:ascii="Arial" w:eastAsia="Times New Roman" w:hAnsi="Arial" w:cs="Arial"/>
      <w:vanish/>
      <w:kern w:val="0"/>
      <w:sz w:val="16"/>
      <w:szCs w:val="16"/>
      <w14:ligatures w14:val="none"/>
    </w:rPr>
  </w:style>
  <w:style w:type="paragraph" w:styleId="TOCHeading">
    <w:name w:val="TOC Heading"/>
    <w:basedOn w:val="Heading1"/>
    <w:next w:val="Normal"/>
    <w:uiPriority w:val="39"/>
    <w:unhideWhenUsed/>
    <w:qFormat/>
    <w:rsid w:val="00FA1267"/>
    <w:pPr>
      <w:spacing w:before="480" w:after="0" w:line="276" w:lineRule="auto"/>
      <w:outlineLvl w:val="9"/>
    </w:pPr>
    <w:rPr>
      <w:b/>
      <w:bCs/>
      <w:kern w:val="0"/>
      <w:sz w:val="28"/>
      <w:szCs w:val="28"/>
      <w14:ligatures w14:val="none"/>
    </w:rPr>
  </w:style>
  <w:style w:type="paragraph" w:styleId="TOC2">
    <w:name w:val="toc 2"/>
    <w:basedOn w:val="Normal"/>
    <w:next w:val="Normal"/>
    <w:autoRedefine/>
    <w:uiPriority w:val="39"/>
    <w:unhideWhenUsed/>
    <w:rsid w:val="00FA1267"/>
    <w:pPr>
      <w:spacing w:before="120"/>
      <w:ind w:left="240"/>
    </w:pPr>
    <w:rPr>
      <w:b/>
      <w:bCs/>
      <w:sz w:val="22"/>
      <w:szCs w:val="22"/>
    </w:rPr>
  </w:style>
  <w:style w:type="paragraph" w:styleId="TOC3">
    <w:name w:val="toc 3"/>
    <w:basedOn w:val="Normal"/>
    <w:next w:val="Normal"/>
    <w:autoRedefine/>
    <w:uiPriority w:val="39"/>
    <w:unhideWhenUsed/>
    <w:rsid w:val="00FA1267"/>
    <w:pPr>
      <w:ind w:left="480"/>
    </w:pPr>
    <w:rPr>
      <w:sz w:val="20"/>
      <w:szCs w:val="20"/>
    </w:rPr>
  </w:style>
  <w:style w:type="paragraph" w:styleId="TOC1">
    <w:name w:val="toc 1"/>
    <w:basedOn w:val="Normal"/>
    <w:next w:val="Normal"/>
    <w:autoRedefine/>
    <w:uiPriority w:val="39"/>
    <w:unhideWhenUsed/>
    <w:rsid w:val="00FA1267"/>
    <w:pPr>
      <w:spacing w:before="120"/>
    </w:pPr>
    <w:rPr>
      <w:b/>
      <w:bCs/>
      <w:i/>
      <w:iCs/>
    </w:rPr>
  </w:style>
  <w:style w:type="paragraph" w:styleId="TOC4">
    <w:name w:val="toc 4"/>
    <w:basedOn w:val="Normal"/>
    <w:next w:val="Normal"/>
    <w:autoRedefine/>
    <w:uiPriority w:val="39"/>
    <w:unhideWhenUsed/>
    <w:rsid w:val="00FA1267"/>
    <w:pPr>
      <w:ind w:left="720"/>
    </w:pPr>
    <w:rPr>
      <w:sz w:val="20"/>
      <w:szCs w:val="20"/>
    </w:rPr>
  </w:style>
  <w:style w:type="paragraph" w:styleId="TOC5">
    <w:name w:val="toc 5"/>
    <w:basedOn w:val="Normal"/>
    <w:next w:val="Normal"/>
    <w:autoRedefine/>
    <w:uiPriority w:val="39"/>
    <w:unhideWhenUsed/>
    <w:rsid w:val="00FA1267"/>
    <w:pPr>
      <w:ind w:left="960"/>
    </w:pPr>
    <w:rPr>
      <w:sz w:val="20"/>
      <w:szCs w:val="20"/>
    </w:rPr>
  </w:style>
  <w:style w:type="paragraph" w:styleId="TOC6">
    <w:name w:val="toc 6"/>
    <w:basedOn w:val="Normal"/>
    <w:next w:val="Normal"/>
    <w:autoRedefine/>
    <w:uiPriority w:val="39"/>
    <w:unhideWhenUsed/>
    <w:rsid w:val="00FA1267"/>
    <w:pPr>
      <w:ind w:left="1200"/>
    </w:pPr>
    <w:rPr>
      <w:sz w:val="20"/>
      <w:szCs w:val="20"/>
    </w:rPr>
  </w:style>
  <w:style w:type="paragraph" w:styleId="TOC7">
    <w:name w:val="toc 7"/>
    <w:basedOn w:val="Normal"/>
    <w:next w:val="Normal"/>
    <w:autoRedefine/>
    <w:uiPriority w:val="39"/>
    <w:unhideWhenUsed/>
    <w:rsid w:val="00FA1267"/>
    <w:pPr>
      <w:ind w:left="1440"/>
    </w:pPr>
    <w:rPr>
      <w:sz w:val="20"/>
      <w:szCs w:val="20"/>
    </w:rPr>
  </w:style>
  <w:style w:type="paragraph" w:styleId="TOC8">
    <w:name w:val="toc 8"/>
    <w:basedOn w:val="Normal"/>
    <w:next w:val="Normal"/>
    <w:autoRedefine/>
    <w:uiPriority w:val="39"/>
    <w:unhideWhenUsed/>
    <w:rsid w:val="00FA1267"/>
    <w:pPr>
      <w:ind w:left="1680"/>
    </w:pPr>
    <w:rPr>
      <w:sz w:val="20"/>
      <w:szCs w:val="20"/>
    </w:rPr>
  </w:style>
  <w:style w:type="paragraph" w:styleId="TOC9">
    <w:name w:val="toc 9"/>
    <w:basedOn w:val="Normal"/>
    <w:next w:val="Normal"/>
    <w:autoRedefine/>
    <w:uiPriority w:val="39"/>
    <w:unhideWhenUsed/>
    <w:rsid w:val="00FA1267"/>
    <w:pPr>
      <w:ind w:left="1920"/>
    </w:pPr>
    <w:rPr>
      <w:sz w:val="20"/>
      <w:szCs w:val="20"/>
    </w:rPr>
  </w:style>
  <w:style w:type="character" w:styleId="Hyperlink">
    <w:name w:val="Hyperlink"/>
    <w:basedOn w:val="DefaultParagraphFont"/>
    <w:uiPriority w:val="99"/>
    <w:unhideWhenUsed/>
    <w:rsid w:val="00FA1267"/>
    <w:rPr>
      <w:color w:val="467886" w:themeColor="hyperlink"/>
      <w:u w:val="single"/>
    </w:rPr>
  </w:style>
  <w:style w:type="character" w:styleId="UnresolvedMention">
    <w:name w:val="Unresolved Mention"/>
    <w:basedOn w:val="DefaultParagraphFont"/>
    <w:uiPriority w:val="99"/>
    <w:semiHidden/>
    <w:unhideWhenUsed/>
    <w:rsid w:val="00FA1267"/>
    <w:rPr>
      <w:color w:val="605E5C"/>
      <w:shd w:val="clear" w:color="auto" w:fill="E1DFDD"/>
    </w:rPr>
  </w:style>
  <w:style w:type="paragraph" w:customStyle="1" w:styleId="placeholder">
    <w:name w:val="placeholder"/>
    <w:basedOn w:val="Normal"/>
    <w:rsid w:val="00FA1267"/>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62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24</Pages>
  <Words>7028</Words>
  <Characters>40063</Characters>
  <Application>Microsoft Office Word</Application>
  <DocSecurity>0</DocSecurity>
  <Lines>333</Lines>
  <Paragraphs>93</Paragraphs>
  <ScaleCrop>false</ScaleCrop>
  <Company/>
  <LinksUpToDate>false</LinksUpToDate>
  <CharactersWithSpaces>46998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Lejerskar</dc:creator>
  <cp:keywords/>
  <dc:description/>
  <cp:lastModifiedBy>dan Lejerskar</cp:lastModifiedBy>
  <cp:revision>6</cp:revision>
  <dcterms:created xsi:type="dcterms:W3CDTF">2024-12-29T16:38:00Z</dcterms:created>
  <dcterms:modified xsi:type="dcterms:W3CDTF">2024-12-29T17:20:00Z</dcterms:modified>
</cp:coreProperties>
</file>